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5"/>
        <w:ind w:left="1985" w:right="2056"/>
        <w:jc w:val="center"/>
        <w:rPr>
          <w:rFonts w:ascii="黑体" w:eastAsia="黑体"/>
          <w:b/>
          <w:sz w:val="30"/>
        </w:rPr>
      </w:pPr>
    </w:p>
    <w:p>
      <w:pPr>
        <w:spacing w:before="35"/>
        <w:ind w:left="1985" w:right="2056"/>
        <w:jc w:val="center"/>
        <w:rPr>
          <w:rFonts w:ascii="黑体" w:eastAsia="黑体"/>
          <w:b/>
          <w:sz w:val="30"/>
        </w:rPr>
      </w:pPr>
    </w:p>
    <w:p>
      <w:pPr>
        <w:jc w:val="center"/>
        <w:rPr>
          <w:b/>
          <w:bCs/>
          <w:sz w:val="44"/>
          <w:szCs w:val="44"/>
          <w:lang w:val="en-US"/>
        </w:rPr>
      </w:pPr>
      <w:r>
        <w:rPr>
          <w:rFonts w:hint="eastAsia"/>
          <w:b/>
          <w:bCs/>
          <w:sz w:val="44"/>
          <w:szCs w:val="44"/>
          <w:lang w:val="en-US"/>
        </w:rPr>
        <w:t>贵州省高等教育自学考试</w:t>
      </w:r>
    </w:p>
    <w:p>
      <w:pPr>
        <w:jc w:val="center"/>
        <w:rPr>
          <w:b/>
          <w:bCs/>
          <w:sz w:val="44"/>
          <w:szCs w:val="44"/>
          <w:lang w:val="en-US"/>
        </w:rPr>
      </w:pPr>
      <w:r>
        <w:rPr>
          <w:rFonts w:hint="eastAsia"/>
          <w:b/>
          <w:bCs/>
          <w:sz w:val="44"/>
          <w:szCs w:val="44"/>
          <w:lang w:val="en-US"/>
        </w:rPr>
        <w:t>食品安全与营养学（专升本）（100402)</w:t>
      </w:r>
    </w:p>
    <w:p>
      <w:pPr>
        <w:spacing w:line="360" w:lineRule="auto"/>
        <w:jc w:val="center"/>
        <w:rPr>
          <w:b/>
          <w:bCs/>
          <w:sz w:val="44"/>
          <w:szCs w:val="44"/>
          <w:lang w:val="en-US"/>
        </w:rPr>
      </w:pPr>
      <w:r>
        <w:rPr>
          <w:rFonts w:hint="eastAsia"/>
          <w:b/>
          <w:bCs/>
          <w:sz w:val="44"/>
          <w:szCs w:val="44"/>
          <w:lang w:val="en-US"/>
        </w:rPr>
        <w:t>健康教育与健康促进(05759)考试大纲</w:t>
      </w:r>
    </w:p>
    <w:p>
      <w:pPr>
        <w:pStyle w:val="5"/>
        <w:rPr>
          <w:sz w:val="23"/>
        </w:rPr>
      </w:pPr>
    </w:p>
    <w:p>
      <w:pPr>
        <w:autoSpaceDE/>
        <w:autoSpaceDN/>
        <w:spacing w:line="360" w:lineRule="auto"/>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一、课程教学目的与任务（课程性质和目的）</w:t>
      </w:r>
    </w:p>
    <w:p>
      <w:pPr>
        <w:pStyle w:val="5"/>
        <w:spacing w:before="160" w:line="364" w:lineRule="auto"/>
        <w:ind w:left="161" w:right="232" w:firstLine="640" w:firstLineChars="200"/>
        <w:jc w:val="both"/>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健康教育与健康促进是食品卫生与营养学专业的一门专业必修课程，是医学与行为科学相结合所产生的交叉学科，主要研究人类行为和健康之间的相互联系及其规律，探索有效、可行、经济的干预策略及措施，是指导学生今后从事公共卫生领域中慢性病防控、膳食营养指导的重要理论基础。</w:t>
      </w:r>
    </w:p>
    <w:p>
      <w:pPr>
        <w:pStyle w:val="5"/>
        <w:spacing w:before="3" w:line="364" w:lineRule="auto"/>
        <w:ind w:left="161" w:right="232" w:firstLine="640" w:firstLineChars="200"/>
        <w:jc w:val="both"/>
      </w:pPr>
      <w:r>
        <w:rPr>
          <w:rFonts w:hint="eastAsia" w:ascii="仿宋" w:hAnsi="仿宋" w:eastAsia="仿宋" w:cs="仿宋"/>
          <w:kern w:val="2"/>
          <w:sz w:val="32"/>
          <w:szCs w:val="32"/>
          <w:lang w:val="en-US" w:bidi="ar-SA"/>
        </w:rPr>
        <w:t>本课程将为学生阐明健康教育与健康促进的基本理论知识，学习并掌握健康传播与健康行为干预的技能，为制定卫生工作策略提供切实可行的方法。该课程是综合性较强的应用学科，必须全面地运用社会医学、管理学、心理学、传播学、医学等多学科知识来阐述健康教育相关理论和实践。要求学生学习该课程后，掌握行为改变的基本理论和健康教育与健康促进实践基本方法；具备健康教育与健康促进的基本技能，提高学生团队合作能力、信息收集能力、科学研究精神；培养学生分析问题、解决问题的能力；通过聚焦国家战略、解读全球卫生政策，引导学生树立社会主义核心价值观，特别是对树立积极的健康观是非常关键和必要的。保证学生达成专业的相应毕业要求。</w:t>
      </w:r>
    </w:p>
    <w:p>
      <w:pPr>
        <w:autoSpaceDE/>
        <w:autoSpaceDN/>
        <w:spacing w:line="360" w:lineRule="auto"/>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二、教学目标（包括知识目标、能力目标、素质目标和课程思政目标）</w:t>
      </w:r>
    </w:p>
    <w:p>
      <w:pPr>
        <w:autoSpaceDE/>
        <w:autoSpaceDN/>
        <w:spacing w:line="360" w:lineRule="auto"/>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（一）知识目标：</w:t>
      </w:r>
    </w:p>
    <w:p>
      <w:pPr>
        <w:autoSpaceDE/>
        <w:autoSpaceDN/>
        <w:spacing w:line="360" w:lineRule="auto"/>
        <w:ind w:firstLine="640" w:firstLineChars="200"/>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目标 1：能够运用健康教育与健康促进的基本理论、基本知识和基本方法，明确卫生管理领域中的重大政策的内容和要求；</w:t>
      </w:r>
    </w:p>
    <w:p>
      <w:pPr>
        <w:autoSpaceDE/>
        <w:autoSpaceDN/>
        <w:spacing w:line="360" w:lineRule="auto"/>
        <w:ind w:firstLine="640" w:firstLineChars="200"/>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目标 2：能熟练运用健康教育与健康促进项目的计划设计、实施和评价的基本原理，掌握健康教育项目制定的完整实施过程及管理过程。</w:t>
      </w:r>
    </w:p>
    <w:p>
      <w:pPr>
        <w:autoSpaceDE/>
        <w:autoSpaceDN/>
        <w:spacing w:line="360" w:lineRule="auto"/>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（二）能力目标：</w:t>
      </w:r>
    </w:p>
    <w:p>
      <w:pPr>
        <w:autoSpaceDE/>
        <w:autoSpaceDN/>
        <w:spacing w:line="360" w:lineRule="auto"/>
        <w:ind w:firstLine="640" w:firstLineChars="200"/>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目标 1：通过学习健康教育与健康促进的基本理论、基本知识和基本方法，使学生具备开展健康教育的基本能力；</w:t>
      </w:r>
    </w:p>
    <w:p>
      <w:pPr>
        <w:autoSpaceDE/>
        <w:autoSpaceDN/>
        <w:spacing w:line="360" w:lineRule="auto"/>
        <w:ind w:firstLine="640" w:firstLineChars="200"/>
      </w:pPr>
      <w:r>
        <w:rPr>
          <w:rFonts w:hint="eastAsia" w:ascii="仿宋" w:hAnsi="仿宋" w:eastAsia="仿宋" w:cs="仿宋"/>
          <w:kern w:val="2"/>
          <w:sz w:val="32"/>
          <w:szCs w:val="32"/>
          <w:lang w:val="en-US" w:bidi="ar-SA"/>
        </w:rPr>
        <w:t>目标 2：通过学习健康教育与健康促进的实践篇，使学生具备健康教育项目管理的能力。</w:t>
      </w:r>
    </w:p>
    <w:p>
      <w:pPr>
        <w:autoSpaceDE/>
        <w:autoSpaceDN/>
        <w:spacing w:line="360" w:lineRule="auto"/>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（三）素质目标：</w:t>
      </w:r>
    </w:p>
    <w:p>
      <w:pPr>
        <w:autoSpaceDE/>
        <w:autoSpaceDN/>
        <w:spacing w:line="360" w:lineRule="auto"/>
        <w:ind w:firstLine="640" w:firstLineChars="200"/>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目标 1：通过健康教育与健康促进课程的学习，可以改善人际关系，增强大学生的自我保健能力，养成良好的卫生习惯，倡导文明、健康、科学的生活方式和行为；</w:t>
      </w:r>
    </w:p>
    <w:p>
      <w:pPr>
        <w:autoSpaceDE/>
        <w:autoSpaceDN/>
        <w:spacing w:line="360" w:lineRule="auto"/>
        <w:ind w:firstLine="640" w:firstLineChars="200"/>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目标 2：通过健康教育与健康促进课程的学习，可以提升健康理念，从而理解、支持和倡导健康政策，参与健康环境建设。</w:t>
      </w:r>
    </w:p>
    <w:p>
      <w:pPr>
        <w:autoSpaceDE/>
        <w:autoSpaceDN/>
        <w:spacing w:line="360" w:lineRule="auto"/>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（四）课程思政目标：</w:t>
      </w:r>
    </w:p>
    <w:p>
      <w:pPr>
        <w:autoSpaceDE/>
        <w:autoSpaceDN/>
        <w:spacing w:line="360" w:lineRule="auto"/>
        <w:ind w:firstLine="640" w:firstLineChars="200"/>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目标 1：通过我国健康教育发展历程的介绍，掌握新时代倡导《健康中国》建设的意义，引出共产党人的初心和使命就是为中国人民谋幸福、为中华民族谋复兴；</w:t>
      </w:r>
    </w:p>
    <w:p>
      <w:pPr>
        <w:widowControl/>
        <w:adjustRightInd w:val="0"/>
        <w:snapToGrid w:val="0"/>
        <w:spacing w:line="360" w:lineRule="auto"/>
        <w:ind w:firstLine="640" w:firstLineChars="200"/>
        <w:rPr>
          <w:sz w:val="20"/>
        </w:rPr>
      </w:pPr>
      <w:r>
        <w:rPr>
          <w:rFonts w:hint="eastAsia" w:ascii="仿宋" w:hAnsi="仿宋" w:eastAsia="仿宋" w:cs="仿宋"/>
          <w:kern w:val="2"/>
          <w:sz w:val="32"/>
          <w:szCs w:val="32"/>
          <w:lang w:val="en-US" w:bidi="ar-SA"/>
        </w:rPr>
        <w:t>目标 2：为提升人民群众健康素养及健康整体水平的责任感，“敬佑生命、甘于奉献、大爱无疆”的医者精神。</w:t>
      </w:r>
    </w:p>
    <w:p>
      <w:pPr>
        <w:pStyle w:val="5"/>
        <w:spacing w:before="3"/>
        <w:rPr>
          <w:sz w:val="19"/>
        </w:rPr>
      </w:pPr>
    </w:p>
    <w:p>
      <w:pPr>
        <w:pStyle w:val="5"/>
        <w:spacing w:before="3"/>
        <w:rPr>
          <w:rFonts w:hint="eastAsia"/>
          <w:sz w:val="19"/>
        </w:rPr>
      </w:pPr>
    </w:p>
    <w:tbl>
      <w:tblPr>
        <w:tblStyle w:val="8"/>
        <w:tblW w:w="0" w:type="auto"/>
        <w:tblInd w:w="119" w:type="dxa"/>
        <w:tblLayout w:type="fixed"/>
        <w:tblCellMar>
          <w:top w:w="0" w:type="dxa"/>
          <w:left w:w="0" w:type="dxa"/>
          <w:bottom w:w="0" w:type="dxa"/>
          <w:right w:w="0" w:type="dxa"/>
        </w:tblCellMar>
      </w:tblPr>
      <w:tblGrid>
        <w:gridCol w:w="5967"/>
        <w:gridCol w:w="2707"/>
      </w:tblGrid>
      <w:tr>
        <w:trPr>
          <w:trHeight w:val="820" w:hRule="atLeast"/>
        </w:trPr>
        <w:tc>
          <w:tcPr>
            <w:tcW w:w="5967" w:type="dxa"/>
            <w:tcBorders>
              <w:bottom w:val="single" w:color="008000" w:sz="12" w:space="0"/>
            </w:tcBorders>
          </w:tcPr>
          <w:p>
            <w:pPr>
              <w:autoSpaceDE/>
              <w:autoSpaceDN/>
              <w:spacing w:line="360" w:lineRule="auto"/>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三、课程学时分配</w:t>
            </w:r>
          </w:p>
          <w:p>
            <w:pPr>
              <w:pStyle w:val="12"/>
              <w:spacing w:before="160"/>
              <w:ind w:right="419"/>
              <w:jc w:val="right"/>
              <w:rPr>
                <w:rFonts w:ascii="仿宋" w:hAnsi="仿宋" w:eastAsia="仿宋" w:cs="仿宋"/>
                <w:b/>
                <w:sz w:val="24"/>
              </w:rPr>
            </w:pPr>
            <w:r>
              <w:rPr>
                <w:rFonts w:hint="eastAsia" w:ascii="仿宋" w:hAnsi="仿宋" w:eastAsia="仿宋" w:cs="仿宋"/>
                <w:b/>
                <w:w w:val="95"/>
                <w:sz w:val="24"/>
              </w:rPr>
              <w:t>课程学时分配</w:t>
            </w:r>
          </w:p>
        </w:tc>
        <w:tc>
          <w:tcPr>
            <w:tcW w:w="2707" w:type="dxa"/>
            <w:tcBorders>
              <w:bottom w:val="single" w:color="008000" w:sz="12" w:space="0"/>
            </w:tcBorders>
          </w:tcPr>
          <w:p>
            <w:pPr>
              <w:pStyle w:val="12"/>
              <w:spacing w:before="0"/>
              <w:jc w:val="left"/>
              <w:rPr>
                <w:rFonts w:ascii="仿宋" w:hAnsi="仿宋" w:eastAsia="仿宋" w:cs="仿宋"/>
                <w:sz w:val="24"/>
              </w:rPr>
            </w:pPr>
          </w:p>
        </w:tc>
      </w:tr>
      <w:tr>
        <w:tblPrEx>
          <w:tblCellMar>
            <w:top w:w="0" w:type="dxa"/>
            <w:left w:w="0" w:type="dxa"/>
            <w:bottom w:w="0" w:type="dxa"/>
            <w:right w:w="0" w:type="dxa"/>
          </w:tblCellMar>
        </w:tblPrEx>
        <w:trPr>
          <w:trHeight w:val="502" w:hRule="atLeast"/>
        </w:trPr>
        <w:tc>
          <w:tcPr>
            <w:tcW w:w="5967" w:type="dxa"/>
            <w:tcBorders>
              <w:top w:val="single" w:color="008000" w:sz="12" w:space="0"/>
              <w:bottom w:val="single" w:color="008000" w:sz="6" w:space="0"/>
            </w:tcBorders>
          </w:tcPr>
          <w:p>
            <w:pPr>
              <w:pStyle w:val="12"/>
              <w:spacing w:before="80"/>
              <w:ind w:left="2517" w:right="2445"/>
              <w:rPr>
                <w:rFonts w:ascii="仿宋" w:hAnsi="仿宋" w:eastAsia="仿宋" w:cs="仿宋"/>
                <w:b/>
                <w:sz w:val="24"/>
              </w:rPr>
            </w:pPr>
            <w:r>
              <w:rPr>
                <w:rFonts w:hint="eastAsia" w:ascii="仿宋" w:hAnsi="仿宋" w:eastAsia="仿宋" w:cs="仿宋"/>
                <w:b/>
                <w:sz w:val="24"/>
              </w:rPr>
              <w:t>授课内容</w:t>
            </w:r>
          </w:p>
        </w:tc>
        <w:tc>
          <w:tcPr>
            <w:tcW w:w="2707" w:type="dxa"/>
            <w:tcBorders>
              <w:top w:val="single" w:color="008000" w:sz="12" w:space="0"/>
              <w:bottom w:val="single" w:color="008000" w:sz="6" w:space="0"/>
            </w:tcBorders>
          </w:tcPr>
          <w:p>
            <w:pPr>
              <w:pStyle w:val="12"/>
              <w:spacing w:before="80"/>
              <w:ind w:left="402" w:right="819"/>
              <w:rPr>
                <w:rFonts w:ascii="仿宋" w:hAnsi="仿宋" w:eastAsia="仿宋" w:cs="仿宋"/>
                <w:b/>
                <w:sz w:val="24"/>
              </w:rPr>
            </w:pPr>
            <w:r>
              <w:rPr>
                <w:rFonts w:hint="eastAsia" w:ascii="仿宋" w:hAnsi="仿宋" w:eastAsia="仿宋" w:cs="仿宋"/>
                <w:b/>
                <w:sz w:val="24"/>
              </w:rPr>
              <w:t>理论教学时数</w:t>
            </w:r>
          </w:p>
        </w:tc>
      </w:tr>
      <w:tr>
        <w:tblPrEx>
          <w:tblCellMar>
            <w:top w:w="0" w:type="dxa"/>
            <w:left w:w="0" w:type="dxa"/>
            <w:bottom w:w="0" w:type="dxa"/>
            <w:right w:w="0" w:type="dxa"/>
          </w:tblCellMar>
        </w:tblPrEx>
        <w:trPr>
          <w:trHeight w:val="472" w:hRule="atLeast"/>
        </w:trPr>
        <w:tc>
          <w:tcPr>
            <w:tcW w:w="5967" w:type="dxa"/>
            <w:tcBorders>
              <w:top w:val="single" w:color="008000" w:sz="6" w:space="0"/>
            </w:tcBorders>
          </w:tcPr>
          <w:p>
            <w:pPr>
              <w:pStyle w:val="12"/>
              <w:spacing w:before="82"/>
              <w:ind w:left="604"/>
              <w:jc w:val="left"/>
              <w:rPr>
                <w:rFonts w:ascii="仿宋" w:hAnsi="仿宋" w:eastAsia="仿宋" w:cs="仿宋"/>
                <w:sz w:val="24"/>
              </w:rPr>
            </w:pPr>
            <w:r>
              <w:rPr>
                <w:rFonts w:hint="eastAsia" w:ascii="仿宋" w:hAnsi="仿宋" w:eastAsia="仿宋" w:cs="仿宋"/>
                <w:sz w:val="24"/>
              </w:rPr>
              <w:t>第一章 绪论</w:t>
            </w:r>
          </w:p>
        </w:tc>
        <w:tc>
          <w:tcPr>
            <w:tcW w:w="2707" w:type="dxa"/>
            <w:tcBorders>
              <w:top w:val="single" w:color="008000" w:sz="6" w:space="0"/>
            </w:tcBorders>
          </w:tcPr>
          <w:p>
            <w:pPr>
              <w:pStyle w:val="12"/>
              <w:spacing w:before="95"/>
              <w:ind w:right="417"/>
              <w:rPr>
                <w:rFonts w:ascii="仿宋" w:hAnsi="仿宋" w:eastAsia="仿宋" w:cs="仿宋"/>
                <w:sz w:val="24"/>
              </w:rPr>
            </w:pPr>
            <w:r>
              <w:rPr>
                <w:rFonts w:hint="eastAsia" w:ascii="仿宋" w:hAnsi="仿宋" w:eastAsia="仿宋" w:cs="仿宋"/>
                <w:sz w:val="24"/>
              </w:rPr>
              <w:t>2</w:t>
            </w:r>
          </w:p>
        </w:tc>
      </w:tr>
      <w:tr>
        <w:tblPrEx>
          <w:tblCellMar>
            <w:top w:w="0" w:type="dxa"/>
            <w:left w:w="0" w:type="dxa"/>
            <w:bottom w:w="0" w:type="dxa"/>
            <w:right w:w="0" w:type="dxa"/>
          </w:tblCellMar>
        </w:tblPrEx>
        <w:trPr>
          <w:trHeight w:val="467" w:hRule="atLeast"/>
        </w:trPr>
        <w:tc>
          <w:tcPr>
            <w:tcW w:w="5967" w:type="dxa"/>
          </w:tcPr>
          <w:p>
            <w:pPr>
              <w:pStyle w:val="12"/>
              <w:ind w:left="604"/>
              <w:jc w:val="left"/>
              <w:rPr>
                <w:rFonts w:ascii="仿宋" w:hAnsi="仿宋" w:eastAsia="仿宋" w:cs="仿宋"/>
                <w:sz w:val="24"/>
              </w:rPr>
            </w:pPr>
            <w:r>
              <w:rPr>
                <w:rFonts w:hint="eastAsia" w:ascii="仿宋" w:hAnsi="仿宋" w:eastAsia="仿宋" w:cs="仿宋"/>
                <w:sz w:val="24"/>
              </w:rPr>
              <w:t>第二章 健康行为及行为改变理论</w:t>
            </w:r>
          </w:p>
        </w:tc>
        <w:tc>
          <w:tcPr>
            <w:tcW w:w="2707" w:type="dxa"/>
          </w:tcPr>
          <w:p>
            <w:pPr>
              <w:pStyle w:val="12"/>
              <w:spacing w:before="91"/>
              <w:ind w:right="417"/>
              <w:rPr>
                <w:rFonts w:ascii="仿宋" w:hAnsi="仿宋" w:eastAsia="仿宋" w:cs="仿宋"/>
                <w:sz w:val="24"/>
              </w:rPr>
            </w:pPr>
            <w:r>
              <w:rPr>
                <w:rFonts w:hint="eastAsia" w:ascii="仿宋" w:hAnsi="仿宋" w:eastAsia="仿宋" w:cs="仿宋"/>
                <w:sz w:val="24"/>
                <w:lang w:val="en-US"/>
              </w:rPr>
              <w:t>4</w:t>
            </w:r>
          </w:p>
        </w:tc>
      </w:tr>
      <w:tr>
        <w:tblPrEx>
          <w:tblCellMar>
            <w:top w:w="0" w:type="dxa"/>
            <w:left w:w="0" w:type="dxa"/>
            <w:bottom w:w="0" w:type="dxa"/>
            <w:right w:w="0" w:type="dxa"/>
          </w:tblCellMar>
        </w:tblPrEx>
        <w:trPr>
          <w:trHeight w:val="468" w:hRule="atLeast"/>
        </w:trPr>
        <w:tc>
          <w:tcPr>
            <w:tcW w:w="5967" w:type="dxa"/>
          </w:tcPr>
          <w:p>
            <w:pPr>
              <w:pStyle w:val="12"/>
              <w:ind w:left="604"/>
              <w:jc w:val="left"/>
              <w:rPr>
                <w:rFonts w:ascii="仿宋" w:hAnsi="仿宋" w:eastAsia="仿宋" w:cs="仿宋"/>
                <w:sz w:val="24"/>
              </w:rPr>
            </w:pPr>
            <w:r>
              <w:rPr>
                <w:rFonts w:hint="eastAsia" w:ascii="仿宋" w:hAnsi="仿宋" w:eastAsia="仿宋" w:cs="仿宋"/>
                <w:sz w:val="24"/>
              </w:rPr>
              <w:t>第三章 健康相关行为干预技术</w:t>
            </w:r>
          </w:p>
        </w:tc>
        <w:tc>
          <w:tcPr>
            <w:tcW w:w="2707" w:type="dxa"/>
          </w:tcPr>
          <w:p>
            <w:pPr>
              <w:pStyle w:val="12"/>
              <w:spacing w:before="91"/>
              <w:ind w:right="417"/>
              <w:rPr>
                <w:rFonts w:ascii="仿宋" w:hAnsi="仿宋" w:eastAsia="仿宋" w:cs="仿宋"/>
                <w:sz w:val="24"/>
              </w:rPr>
            </w:pPr>
            <w:r>
              <w:rPr>
                <w:rFonts w:hint="eastAsia" w:ascii="仿宋" w:hAnsi="仿宋" w:eastAsia="仿宋" w:cs="仿宋"/>
                <w:sz w:val="24"/>
              </w:rPr>
              <w:t>2</w:t>
            </w:r>
          </w:p>
        </w:tc>
      </w:tr>
      <w:tr>
        <w:tblPrEx>
          <w:tblCellMar>
            <w:top w:w="0" w:type="dxa"/>
            <w:left w:w="0" w:type="dxa"/>
            <w:bottom w:w="0" w:type="dxa"/>
            <w:right w:w="0" w:type="dxa"/>
          </w:tblCellMar>
        </w:tblPrEx>
        <w:trPr>
          <w:trHeight w:val="467" w:hRule="atLeast"/>
        </w:trPr>
        <w:tc>
          <w:tcPr>
            <w:tcW w:w="5967" w:type="dxa"/>
          </w:tcPr>
          <w:p>
            <w:pPr>
              <w:pStyle w:val="12"/>
              <w:ind w:left="604"/>
              <w:jc w:val="left"/>
              <w:rPr>
                <w:rFonts w:ascii="仿宋" w:hAnsi="仿宋" w:eastAsia="仿宋" w:cs="仿宋"/>
                <w:sz w:val="24"/>
              </w:rPr>
            </w:pPr>
            <w:r>
              <w:rPr>
                <w:rFonts w:hint="eastAsia" w:ascii="仿宋" w:hAnsi="仿宋" w:eastAsia="仿宋" w:cs="仿宋"/>
                <w:sz w:val="24"/>
              </w:rPr>
              <w:t>第四章 健康传播理论与方法</w:t>
            </w:r>
          </w:p>
        </w:tc>
        <w:tc>
          <w:tcPr>
            <w:tcW w:w="2707" w:type="dxa"/>
          </w:tcPr>
          <w:p>
            <w:pPr>
              <w:pStyle w:val="12"/>
              <w:spacing w:before="91"/>
              <w:ind w:right="417"/>
              <w:rPr>
                <w:rFonts w:ascii="仿宋" w:hAnsi="仿宋" w:eastAsia="仿宋" w:cs="仿宋"/>
                <w:sz w:val="24"/>
              </w:rPr>
            </w:pPr>
            <w:r>
              <w:rPr>
                <w:rFonts w:hint="eastAsia" w:ascii="仿宋" w:hAnsi="仿宋" w:eastAsia="仿宋" w:cs="仿宋"/>
                <w:sz w:val="24"/>
              </w:rPr>
              <w:t>2</w:t>
            </w:r>
          </w:p>
        </w:tc>
      </w:tr>
      <w:tr>
        <w:tblPrEx>
          <w:tblCellMar>
            <w:top w:w="0" w:type="dxa"/>
            <w:left w:w="0" w:type="dxa"/>
            <w:bottom w:w="0" w:type="dxa"/>
            <w:right w:w="0" w:type="dxa"/>
          </w:tblCellMar>
        </w:tblPrEx>
        <w:trPr>
          <w:trHeight w:val="481" w:hRule="atLeast"/>
        </w:trPr>
        <w:tc>
          <w:tcPr>
            <w:tcW w:w="5967" w:type="dxa"/>
          </w:tcPr>
          <w:p>
            <w:pPr>
              <w:pStyle w:val="12"/>
              <w:ind w:left="604"/>
              <w:jc w:val="left"/>
              <w:rPr>
                <w:rFonts w:ascii="仿宋" w:hAnsi="仿宋" w:eastAsia="仿宋" w:cs="仿宋"/>
                <w:sz w:val="24"/>
              </w:rPr>
            </w:pPr>
            <w:r>
              <w:rPr>
                <w:rFonts w:hint="eastAsia" w:ascii="仿宋" w:hAnsi="仿宋" w:eastAsia="仿宋" w:cs="仿宋"/>
                <w:sz w:val="24"/>
              </w:rPr>
              <w:t>第五章 健康信息开发及传播材料制作</w:t>
            </w:r>
          </w:p>
        </w:tc>
        <w:tc>
          <w:tcPr>
            <w:tcW w:w="2707" w:type="dxa"/>
          </w:tcPr>
          <w:p>
            <w:pPr>
              <w:pStyle w:val="12"/>
              <w:spacing w:before="91"/>
              <w:ind w:right="417"/>
              <w:rPr>
                <w:rFonts w:ascii="仿宋" w:hAnsi="仿宋" w:eastAsia="仿宋" w:cs="仿宋"/>
                <w:sz w:val="24"/>
              </w:rPr>
            </w:pPr>
            <w:r>
              <w:rPr>
                <w:rFonts w:hint="eastAsia" w:ascii="仿宋" w:hAnsi="仿宋" w:eastAsia="仿宋" w:cs="仿宋"/>
                <w:sz w:val="24"/>
              </w:rPr>
              <w:t>2</w:t>
            </w:r>
          </w:p>
        </w:tc>
      </w:tr>
      <w:tr>
        <w:tblPrEx>
          <w:tblCellMar>
            <w:top w:w="0" w:type="dxa"/>
            <w:left w:w="0" w:type="dxa"/>
            <w:bottom w:w="0" w:type="dxa"/>
            <w:right w:w="0" w:type="dxa"/>
          </w:tblCellMar>
        </w:tblPrEx>
        <w:trPr>
          <w:trHeight w:val="481" w:hRule="atLeast"/>
        </w:trPr>
        <w:tc>
          <w:tcPr>
            <w:tcW w:w="5967" w:type="dxa"/>
          </w:tcPr>
          <w:p>
            <w:pPr>
              <w:pStyle w:val="12"/>
              <w:ind w:left="604"/>
              <w:jc w:val="left"/>
              <w:rPr>
                <w:rFonts w:ascii="仿宋" w:hAnsi="仿宋" w:eastAsia="仿宋" w:cs="仿宋"/>
                <w:sz w:val="24"/>
                <w:lang w:val="en-US"/>
              </w:rPr>
            </w:pPr>
            <w:r>
              <w:rPr>
                <w:rFonts w:hint="eastAsia" w:ascii="仿宋" w:hAnsi="仿宋" w:eastAsia="仿宋" w:cs="仿宋"/>
                <w:sz w:val="24"/>
                <w:lang w:val="en-US"/>
              </w:rPr>
              <w:t>第六章 健康教育实用技能</w:t>
            </w:r>
          </w:p>
        </w:tc>
        <w:tc>
          <w:tcPr>
            <w:tcW w:w="2707" w:type="dxa"/>
          </w:tcPr>
          <w:p>
            <w:pPr>
              <w:pStyle w:val="12"/>
              <w:spacing w:before="91"/>
              <w:ind w:right="417"/>
              <w:rPr>
                <w:rFonts w:ascii="仿宋" w:hAnsi="仿宋" w:eastAsia="仿宋" w:cs="仿宋"/>
                <w:sz w:val="24"/>
                <w:lang w:val="en-US"/>
              </w:rPr>
            </w:pPr>
            <w:r>
              <w:rPr>
                <w:rFonts w:hint="eastAsia" w:ascii="仿宋" w:hAnsi="仿宋" w:eastAsia="仿宋" w:cs="仿宋"/>
                <w:sz w:val="24"/>
                <w:lang w:val="en-US"/>
              </w:rPr>
              <w:t>2</w:t>
            </w:r>
          </w:p>
        </w:tc>
      </w:tr>
      <w:tr>
        <w:tblPrEx>
          <w:tblCellMar>
            <w:top w:w="0" w:type="dxa"/>
            <w:left w:w="0" w:type="dxa"/>
            <w:bottom w:w="0" w:type="dxa"/>
            <w:right w:w="0" w:type="dxa"/>
          </w:tblCellMar>
        </w:tblPrEx>
        <w:trPr>
          <w:trHeight w:val="481" w:hRule="atLeast"/>
        </w:trPr>
        <w:tc>
          <w:tcPr>
            <w:tcW w:w="5967" w:type="dxa"/>
          </w:tcPr>
          <w:p>
            <w:pPr>
              <w:pStyle w:val="12"/>
              <w:spacing w:before="90"/>
              <w:ind w:left="604"/>
              <w:jc w:val="left"/>
              <w:rPr>
                <w:rFonts w:ascii="仿宋" w:hAnsi="仿宋" w:eastAsia="仿宋" w:cs="仿宋"/>
                <w:sz w:val="24"/>
              </w:rPr>
            </w:pPr>
            <w:r>
              <w:rPr>
                <w:rFonts w:hint="eastAsia" w:ascii="仿宋" w:hAnsi="仿宋" w:eastAsia="仿宋" w:cs="仿宋"/>
                <w:sz w:val="24"/>
              </w:rPr>
              <w:t>第七章 健康教育与健康促进项目管理</w:t>
            </w:r>
          </w:p>
        </w:tc>
        <w:tc>
          <w:tcPr>
            <w:tcW w:w="2707" w:type="dxa"/>
          </w:tcPr>
          <w:p>
            <w:pPr>
              <w:pStyle w:val="12"/>
              <w:spacing w:before="104"/>
              <w:ind w:right="417"/>
              <w:rPr>
                <w:rFonts w:ascii="仿宋" w:hAnsi="仿宋" w:eastAsia="仿宋" w:cs="仿宋"/>
                <w:sz w:val="24"/>
              </w:rPr>
            </w:pPr>
            <w:r>
              <w:rPr>
                <w:rFonts w:hint="eastAsia" w:ascii="仿宋" w:hAnsi="仿宋" w:eastAsia="仿宋" w:cs="仿宋"/>
                <w:sz w:val="24"/>
                <w:lang w:val="en-US"/>
              </w:rPr>
              <w:t>4</w:t>
            </w:r>
          </w:p>
        </w:tc>
      </w:tr>
      <w:tr>
        <w:tblPrEx>
          <w:tblCellMar>
            <w:top w:w="0" w:type="dxa"/>
            <w:left w:w="0" w:type="dxa"/>
            <w:bottom w:w="0" w:type="dxa"/>
            <w:right w:w="0" w:type="dxa"/>
          </w:tblCellMar>
        </w:tblPrEx>
        <w:trPr>
          <w:trHeight w:val="467" w:hRule="atLeast"/>
        </w:trPr>
        <w:tc>
          <w:tcPr>
            <w:tcW w:w="5967" w:type="dxa"/>
          </w:tcPr>
          <w:p>
            <w:pPr>
              <w:pStyle w:val="12"/>
              <w:ind w:left="604"/>
              <w:jc w:val="left"/>
              <w:rPr>
                <w:rFonts w:ascii="仿宋" w:hAnsi="仿宋" w:eastAsia="仿宋" w:cs="仿宋"/>
                <w:sz w:val="24"/>
              </w:rPr>
            </w:pPr>
            <w:r>
              <w:rPr>
                <w:rFonts w:hint="eastAsia" w:ascii="仿宋" w:hAnsi="仿宋" w:eastAsia="仿宋" w:cs="仿宋"/>
                <w:sz w:val="24"/>
              </w:rPr>
              <w:t>第八章 健康教育活动策划与实施</w:t>
            </w:r>
          </w:p>
        </w:tc>
        <w:tc>
          <w:tcPr>
            <w:tcW w:w="2707" w:type="dxa"/>
          </w:tcPr>
          <w:p>
            <w:pPr>
              <w:pStyle w:val="12"/>
              <w:spacing w:before="91"/>
              <w:ind w:right="417"/>
              <w:rPr>
                <w:rFonts w:ascii="仿宋" w:hAnsi="仿宋" w:eastAsia="仿宋" w:cs="仿宋"/>
                <w:sz w:val="24"/>
              </w:rPr>
            </w:pPr>
            <w:r>
              <w:rPr>
                <w:rFonts w:hint="eastAsia" w:ascii="仿宋" w:hAnsi="仿宋" w:eastAsia="仿宋" w:cs="仿宋"/>
                <w:sz w:val="24"/>
              </w:rPr>
              <w:t>2</w:t>
            </w:r>
          </w:p>
        </w:tc>
      </w:tr>
      <w:tr>
        <w:tblPrEx>
          <w:tblCellMar>
            <w:top w:w="0" w:type="dxa"/>
            <w:left w:w="0" w:type="dxa"/>
            <w:bottom w:w="0" w:type="dxa"/>
            <w:right w:w="0" w:type="dxa"/>
          </w:tblCellMar>
        </w:tblPrEx>
        <w:trPr>
          <w:trHeight w:val="468" w:hRule="atLeast"/>
        </w:trPr>
        <w:tc>
          <w:tcPr>
            <w:tcW w:w="5967" w:type="dxa"/>
          </w:tcPr>
          <w:p>
            <w:pPr>
              <w:pStyle w:val="12"/>
              <w:ind w:left="604"/>
              <w:jc w:val="left"/>
              <w:rPr>
                <w:rFonts w:ascii="仿宋" w:hAnsi="仿宋" w:eastAsia="仿宋" w:cs="仿宋"/>
                <w:sz w:val="24"/>
              </w:rPr>
            </w:pPr>
            <w:r>
              <w:rPr>
                <w:rFonts w:hint="eastAsia" w:ascii="仿宋" w:hAnsi="仿宋" w:eastAsia="仿宋" w:cs="仿宋"/>
                <w:sz w:val="24"/>
              </w:rPr>
              <w:t>第九章 特定人群健康教育</w:t>
            </w:r>
          </w:p>
        </w:tc>
        <w:tc>
          <w:tcPr>
            <w:tcW w:w="2707" w:type="dxa"/>
          </w:tcPr>
          <w:p>
            <w:pPr>
              <w:pStyle w:val="12"/>
              <w:spacing w:before="91"/>
              <w:ind w:right="417"/>
              <w:rPr>
                <w:rFonts w:ascii="仿宋" w:hAnsi="仿宋" w:eastAsia="仿宋" w:cs="仿宋"/>
                <w:sz w:val="24"/>
              </w:rPr>
            </w:pPr>
            <w:r>
              <w:rPr>
                <w:rFonts w:hint="eastAsia" w:ascii="仿宋" w:hAnsi="仿宋" w:eastAsia="仿宋" w:cs="仿宋"/>
                <w:sz w:val="24"/>
              </w:rPr>
              <w:t>4</w:t>
            </w:r>
          </w:p>
        </w:tc>
      </w:tr>
      <w:tr>
        <w:tblPrEx>
          <w:tblCellMar>
            <w:top w:w="0" w:type="dxa"/>
            <w:left w:w="0" w:type="dxa"/>
            <w:bottom w:w="0" w:type="dxa"/>
            <w:right w:w="0" w:type="dxa"/>
          </w:tblCellMar>
        </w:tblPrEx>
        <w:trPr>
          <w:trHeight w:val="468" w:hRule="atLeast"/>
        </w:trPr>
        <w:tc>
          <w:tcPr>
            <w:tcW w:w="5967" w:type="dxa"/>
          </w:tcPr>
          <w:p>
            <w:pPr>
              <w:pStyle w:val="12"/>
              <w:ind w:left="604"/>
              <w:jc w:val="left"/>
              <w:rPr>
                <w:rFonts w:ascii="仿宋" w:hAnsi="仿宋" w:eastAsia="仿宋" w:cs="仿宋"/>
                <w:sz w:val="24"/>
                <w:lang w:val="en-US"/>
              </w:rPr>
            </w:pPr>
            <w:r>
              <w:rPr>
                <w:rFonts w:hint="eastAsia" w:ascii="仿宋" w:hAnsi="仿宋" w:eastAsia="仿宋" w:cs="仿宋"/>
                <w:sz w:val="24"/>
              </w:rPr>
              <w:t>第十</w:t>
            </w:r>
            <w:r>
              <w:rPr>
                <w:rFonts w:hint="eastAsia" w:ascii="仿宋" w:hAnsi="仿宋" w:eastAsia="仿宋" w:cs="仿宋"/>
                <w:sz w:val="24"/>
                <w:lang w:val="en-US"/>
              </w:rPr>
              <w:t>章场所健康教育与健康促进</w:t>
            </w:r>
          </w:p>
        </w:tc>
        <w:tc>
          <w:tcPr>
            <w:tcW w:w="2707" w:type="dxa"/>
          </w:tcPr>
          <w:p>
            <w:pPr>
              <w:pStyle w:val="12"/>
              <w:spacing w:before="91"/>
              <w:ind w:right="417"/>
              <w:rPr>
                <w:rFonts w:ascii="仿宋" w:hAnsi="仿宋" w:eastAsia="仿宋" w:cs="仿宋"/>
                <w:sz w:val="24"/>
              </w:rPr>
            </w:pPr>
            <w:r>
              <w:rPr>
                <w:rFonts w:hint="eastAsia" w:ascii="仿宋" w:hAnsi="仿宋" w:eastAsia="仿宋" w:cs="仿宋"/>
                <w:sz w:val="24"/>
              </w:rPr>
              <w:t>2</w:t>
            </w:r>
          </w:p>
        </w:tc>
      </w:tr>
      <w:tr>
        <w:tblPrEx>
          <w:tblCellMar>
            <w:top w:w="0" w:type="dxa"/>
            <w:left w:w="0" w:type="dxa"/>
            <w:bottom w:w="0" w:type="dxa"/>
            <w:right w:w="0" w:type="dxa"/>
          </w:tblCellMar>
        </w:tblPrEx>
        <w:trPr>
          <w:trHeight w:val="484" w:hRule="atLeast"/>
        </w:trPr>
        <w:tc>
          <w:tcPr>
            <w:tcW w:w="5967" w:type="dxa"/>
            <w:tcBorders>
              <w:bottom w:val="single" w:color="000000" w:sz="4" w:space="0"/>
            </w:tcBorders>
          </w:tcPr>
          <w:p>
            <w:pPr>
              <w:pStyle w:val="12"/>
              <w:ind w:right="529"/>
              <w:jc w:val="right"/>
              <w:rPr>
                <w:rFonts w:ascii="仿宋" w:hAnsi="仿宋" w:eastAsia="仿宋" w:cs="仿宋"/>
                <w:b/>
                <w:sz w:val="24"/>
              </w:rPr>
            </w:pPr>
            <w:r>
              <w:rPr>
                <w:rFonts w:hint="eastAsia" w:ascii="仿宋" w:hAnsi="仿宋" w:eastAsia="仿宋" w:cs="仿宋"/>
                <w:b/>
                <w:w w:val="95"/>
                <w:sz w:val="24"/>
              </w:rPr>
              <w:t>合计</w:t>
            </w:r>
          </w:p>
        </w:tc>
        <w:tc>
          <w:tcPr>
            <w:tcW w:w="2707" w:type="dxa"/>
            <w:tcBorders>
              <w:bottom w:val="single" w:color="000000" w:sz="4" w:space="0"/>
            </w:tcBorders>
          </w:tcPr>
          <w:p>
            <w:pPr>
              <w:pStyle w:val="12"/>
              <w:spacing w:before="91"/>
              <w:ind w:left="402" w:right="819"/>
              <w:rPr>
                <w:rFonts w:ascii="仿宋" w:hAnsi="仿宋" w:eastAsia="仿宋" w:cs="仿宋"/>
                <w:b/>
                <w:sz w:val="24"/>
              </w:rPr>
            </w:pPr>
            <w:r>
              <w:rPr>
                <w:rFonts w:hint="eastAsia" w:ascii="仿宋" w:hAnsi="仿宋" w:eastAsia="仿宋" w:cs="仿宋"/>
                <w:b/>
                <w:sz w:val="24"/>
              </w:rPr>
              <w:t>26</w:t>
            </w:r>
          </w:p>
        </w:tc>
      </w:tr>
    </w:tbl>
    <w:p>
      <w:pPr>
        <w:pStyle w:val="5"/>
        <w:rPr>
          <w:sz w:val="20"/>
        </w:rPr>
      </w:pPr>
    </w:p>
    <w:p>
      <w:pPr>
        <w:pStyle w:val="5"/>
        <w:spacing w:before="3"/>
        <w:rPr>
          <w:sz w:val="17"/>
        </w:rPr>
      </w:pPr>
    </w:p>
    <w:p>
      <w:pPr>
        <w:autoSpaceDE/>
        <w:autoSpaceDN/>
        <w:spacing w:line="360" w:lineRule="auto"/>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四、课程考核形式</w:t>
      </w:r>
    </w:p>
    <w:p>
      <w:pPr>
        <w:autoSpaceDE/>
        <w:autoSpaceDN/>
        <w:spacing w:line="360" w:lineRule="auto"/>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（一）考核要求：考查课</w:t>
      </w:r>
    </w:p>
    <w:p>
      <w:pPr>
        <w:autoSpaceDE/>
        <w:autoSpaceDN/>
        <w:spacing w:line="360" w:lineRule="auto"/>
        <w:rPr>
          <w:sz w:val="18"/>
        </w:rPr>
      </w:pPr>
      <w:r>
        <w:rPr>
          <w:rFonts w:hint="eastAsia" w:ascii="仿宋" w:hAnsi="仿宋" w:eastAsia="仿宋" w:cs="仿宋"/>
          <w:kern w:val="2"/>
          <w:sz w:val="32"/>
          <w:szCs w:val="32"/>
          <w:lang w:val="en-US" w:bidi="ar-SA"/>
        </w:rPr>
        <w:t>（二）考核方式：笔试（闭卷）</w:t>
      </w:r>
    </w:p>
    <w:p>
      <w:pPr>
        <w:autoSpaceDE/>
        <w:autoSpaceDN/>
        <w:spacing w:line="360" w:lineRule="auto"/>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五、参考教材和教学参考书</w:t>
      </w:r>
    </w:p>
    <w:p>
      <w:pPr>
        <w:autoSpaceDE/>
        <w:autoSpaceDN/>
        <w:spacing w:line="360" w:lineRule="auto"/>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（一）参考教材：</w:t>
      </w:r>
    </w:p>
    <w:p>
      <w:pPr>
        <w:autoSpaceDE/>
        <w:autoSpaceDN/>
        <w:spacing w:line="360" w:lineRule="auto"/>
        <w:ind w:left="639" w:leftChars="145" w:hanging="320" w:hangingChars="100"/>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《健康教育与健康促进》，李浴峰、马海燕主编，人民卫生出版社，2020 年第 1 版</w:t>
      </w:r>
    </w:p>
    <w:p>
      <w:pPr>
        <w:autoSpaceDE/>
        <w:autoSpaceDN/>
        <w:spacing w:line="360" w:lineRule="auto"/>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（二）其它参考资料：</w:t>
      </w:r>
    </w:p>
    <w:p>
      <w:pPr>
        <w:autoSpaceDE/>
        <w:autoSpaceDN/>
        <w:spacing w:line="360" w:lineRule="auto"/>
        <w:ind w:left="440" w:leftChars="200"/>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[1]《健康教育学》，傅华主编，人民卫生出版社，2017年第3版</w:t>
      </w:r>
    </w:p>
    <w:p>
      <w:pPr>
        <w:autoSpaceDE/>
        <w:autoSpaceDN/>
        <w:spacing w:line="360" w:lineRule="auto"/>
        <w:ind w:left="440" w:leftChars="200"/>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[2]《健康教育与健康促进基本理论与实践》，田向阳、程玉兰主编，人民卫生出版社，2016年第1版</w:t>
      </w:r>
    </w:p>
    <w:p>
      <w:pPr>
        <w:autoSpaceDE/>
        <w:autoSpaceDN/>
        <w:spacing w:line="360" w:lineRule="auto"/>
        <w:ind w:left="440" w:leftChars="200"/>
        <w:rPr>
          <w:sz w:val="25"/>
        </w:rPr>
      </w:pPr>
      <w:r>
        <w:rPr>
          <w:rFonts w:hint="eastAsia" w:ascii="仿宋" w:hAnsi="仿宋" w:eastAsia="仿宋" w:cs="仿宋"/>
          <w:kern w:val="2"/>
          <w:sz w:val="32"/>
          <w:szCs w:val="32"/>
          <w:lang w:val="en-US" w:bidi="ar-SA"/>
        </w:rPr>
        <w:t>[3]《健康传播材料制作与评价》，李长宁主编，人民卫生出版社.2018年第1版</w:t>
      </w:r>
    </w:p>
    <w:p>
      <w:pPr>
        <w:autoSpaceDE/>
        <w:autoSpaceDN/>
        <w:spacing w:line="360" w:lineRule="auto"/>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六、教学内容及学时分</w:t>
      </w:r>
    </w:p>
    <w:p>
      <w:pPr>
        <w:autoSpaceDE/>
        <w:autoSpaceDN/>
        <w:spacing w:line="360" w:lineRule="auto"/>
        <w:jc w:val="center"/>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第一章 绪论</w:t>
      </w:r>
    </w:p>
    <w:p>
      <w:pPr>
        <w:pStyle w:val="5"/>
        <w:spacing w:before="4"/>
        <w:rPr>
          <w:b/>
          <w:sz w:val="9"/>
        </w:rPr>
      </w:pPr>
    </w:p>
    <w:p>
      <w:pPr>
        <w:pStyle w:val="5"/>
        <w:spacing w:before="67" w:line="364" w:lineRule="auto"/>
        <w:ind w:left="161" w:right="232"/>
        <w:jc w:val="both"/>
        <w:rPr>
          <w:rFonts w:ascii="Times New Roman" w:hAnsi="Times New Roman" w:cs="Times New Roman"/>
          <w:kern w:val="2"/>
          <w:sz w:val="30"/>
          <w:lang w:val="en-US" w:bidi="ar-SA"/>
        </w:rPr>
      </w:pPr>
      <w:r>
        <w:rPr>
          <w:rFonts w:hint="eastAsia" w:ascii="Times New Roman" w:hAnsi="Times New Roman" w:cs="Times New Roman"/>
          <w:kern w:val="2"/>
          <w:sz w:val="30"/>
          <w:lang w:val="en-US" w:bidi="ar-SA"/>
        </w:rPr>
        <w:t>【目的要求】</w:t>
      </w:r>
    </w:p>
    <w:p>
      <w:pPr>
        <w:pStyle w:val="5"/>
        <w:spacing w:before="67" w:line="360" w:lineRule="auto"/>
        <w:ind w:left="161" w:right="232" w:firstLine="640" w:firstLineChars="200"/>
        <w:jc w:val="both"/>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掌握健康素养的概念；健康教育的概念、特点、原则、任务和作用；健康促进的概念、任务、基本策略。熟悉健康的概念及其影响因素；了解健康相关概念与观念；健康标准；健康教育与健康促进的发展。</w:t>
      </w:r>
    </w:p>
    <w:p>
      <w:pPr>
        <w:autoSpaceDE/>
        <w:autoSpaceDN/>
        <w:spacing w:line="360" w:lineRule="auto"/>
        <w:jc w:val="both"/>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【思考题】</w:t>
      </w:r>
    </w:p>
    <w:p>
      <w:pPr>
        <w:adjustRightInd w:val="0"/>
        <w:snapToGrid w:val="0"/>
        <w:spacing w:line="360" w:lineRule="auto"/>
        <w:ind w:firstLine="320" w:firstLineChars="100"/>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1.什么是健康教育、健康促进？</w:t>
      </w:r>
    </w:p>
    <w:p>
      <w:pPr>
        <w:adjustRightInd w:val="0"/>
        <w:snapToGrid w:val="0"/>
        <w:spacing w:line="360" w:lineRule="auto"/>
        <w:ind w:firstLine="320" w:firstLineChars="100"/>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2.健康促进的基本策略是什么？</w:t>
      </w:r>
    </w:p>
    <w:p>
      <w:pPr>
        <w:pStyle w:val="5"/>
        <w:spacing w:before="5"/>
        <w:rPr>
          <w:sz w:val="37"/>
        </w:rPr>
      </w:pPr>
    </w:p>
    <w:p>
      <w:pPr>
        <w:autoSpaceDE/>
        <w:autoSpaceDN/>
        <w:spacing w:line="360" w:lineRule="auto"/>
        <w:jc w:val="center"/>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第二章 健康行为及行为改变理论</w:t>
      </w:r>
    </w:p>
    <w:p>
      <w:pPr>
        <w:autoSpaceDE/>
        <w:autoSpaceDN/>
        <w:jc w:val="both"/>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【目的要求】</w:t>
      </w:r>
    </w:p>
    <w:p>
      <w:pPr>
        <w:pStyle w:val="5"/>
        <w:spacing w:before="67" w:line="364" w:lineRule="auto"/>
        <w:ind w:left="161" w:right="232" w:firstLine="640" w:firstLineChars="200"/>
        <w:jc w:val="both"/>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掌握行为的概念、行为及行为要素；人类行为的特点及属性；影响人类行为形成和发展的因素；健康相关行为的概念、分类、特点。</w:t>
      </w:r>
    </w:p>
    <w:p>
      <w:pPr>
        <w:pStyle w:val="5"/>
        <w:spacing w:before="67" w:line="364" w:lineRule="auto"/>
        <w:ind w:left="161" w:right="232" w:firstLine="640" w:firstLineChars="200"/>
        <w:jc w:val="both"/>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熟悉行为与健康关系、健康相关行为理论的主要概念构件，包括知-信-行模式、健康信念模式、行为转变阶段模式、社会认知理论、组织改变理论、生态学模型。</w:t>
      </w:r>
    </w:p>
    <w:p>
      <w:pPr>
        <w:pStyle w:val="5"/>
        <w:spacing w:before="67" w:line="364" w:lineRule="auto"/>
        <w:ind w:left="161" w:right="232" w:firstLine="640" w:firstLineChars="200"/>
        <w:jc w:val="both"/>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了解行为分类、行为的形成与发展；健康相关行为理论的实践应用与优缺点。</w:t>
      </w:r>
    </w:p>
    <w:p>
      <w:pPr>
        <w:autoSpaceDE/>
        <w:autoSpaceDN/>
        <w:jc w:val="both"/>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【思考题】</w:t>
      </w:r>
    </w:p>
    <w:p>
      <w:pPr>
        <w:pStyle w:val="11"/>
        <w:tabs>
          <w:tab w:val="left" w:pos="932"/>
        </w:tabs>
        <w:ind w:left="440" w:leftChars="200" w:firstLine="0"/>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1.健康信念模式的框架是什么？</w:t>
      </w:r>
    </w:p>
    <w:p>
      <w:pPr>
        <w:pStyle w:val="11"/>
        <w:tabs>
          <w:tab w:val="left" w:pos="932"/>
        </w:tabs>
        <w:spacing w:before="160"/>
        <w:ind w:left="440" w:leftChars="200" w:firstLine="0"/>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2.知信行模式的基本内容是什么？</w:t>
      </w:r>
    </w:p>
    <w:p>
      <w:pPr>
        <w:autoSpaceDE/>
        <w:autoSpaceDN/>
        <w:spacing w:line="480" w:lineRule="auto"/>
        <w:jc w:val="center"/>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第三章 健康相关行为的干预技术</w:t>
      </w:r>
    </w:p>
    <w:p>
      <w:pPr>
        <w:pStyle w:val="5"/>
        <w:spacing w:before="186" w:line="360" w:lineRule="auto"/>
        <w:ind w:left="161" w:right="232"/>
        <w:jc w:val="both"/>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【目的要求】</w:t>
      </w:r>
    </w:p>
    <w:p>
      <w:pPr>
        <w:tabs>
          <w:tab w:val="left" w:pos="932"/>
        </w:tabs>
        <w:spacing w:line="360" w:lineRule="auto"/>
        <w:ind w:firstLine="640" w:firstLineChars="200"/>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掌握常见危害健康行为的干预技术。熟悉各种健康行为干预技术及相关概念。了解行为干预技术相关概念和干预策略。</w:t>
      </w:r>
    </w:p>
    <w:p>
      <w:pPr>
        <w:spacing w:before="4" w:line="360" w:lineRule="auto"/>
        <w:jc w:val="both"/>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【思考题】</w:t>
      </w:r>
    </w:p>
    <w:p>
      <w:pPr>
        <w:tabs>
          <w:tab w:val="left" w:pos="312"/>
        </w:tabs>
        <w:adjustRightInd w:val="0"/>
        <w:snapToGrid w:val="0"/>
        <w:spacing w:line="360" w:lineRule="auto"/>
        <w:ind w:firstLine="320" w:firstLineChars="100"/>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1.常见的行为疗法有哪些？</w:t>
      </w:r>
    </w:p>
    <w:p>
      <w:pPr>
        <w:tabs>
          <w:tab w:val="left" w:pos="312"/>
        </w:tabs>
        <w:adjustRightInd w:val="0"/>
        <w:snapToGrid w:val="0"/>
        <w:spacing w:line="360" w:lineRule="auto"/>
        <w:ind w:firstLine="320" w:firstLineChars="100"/>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2.简述过量饮酒行为的干预策略。</w:t>
      </w:r>
    </w:p>
    <w:p>
      <w:pPr>
        <w:autoSpaceDE/>
        <w:autoSpaceDN/>
        <w:spacing w:line="480" w:lineRule="auto"/>
        <w:jc w:val="center"/>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第四章健康传播理论与方法</w:t>
      </w:r>
    </w:p>
    <w:p>
      <w:pPr>
        <w:autoSpaceDE/>
        <w:autoSpaceDN/>
        <w:spacing w:line="360" w:lineRule="auto"/>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【目的要求】</w:t>
      </w:r>
    </w:p>
    <w:p>
      <w:pPr>
        <w:adjustRightInd w:val="0"/>
        <w:snapToGrid w:val="0"/>
        <w:spacing w:line="360" w:lineRule="auto"/>
        <w:rPr>
          <w:sz w:val="24"/>
        </w:rPr>
      </w:pPr>
      <w:r>
        <w:rPr>
          <w:rFonts w:hint="eastAsia" w:ascii="仿宋" w:hAnsi="仿宋" w:eastAsia="仿宋" w:cs="仿宋"/>
          <w:kern w:val="2"/>
          <w:sz w:val="32"/>
          <w:szCs w:val="32"/>
          <w:lang w:val="en-US" w:bidi="ar-SA"/>
        </w:rPr>
        <w:t xml:space="preserve">    掌握健康传播的概念，拉斯韦尔五因素传播模式，施拉姆双向传播模式；健康传播分类；人际传播概念、特点与传播形式，；大众传播的概念、特点、选择原则；熟悉健康传播的特点、影响健康传播效果的因素；新媒体概念。了解群体传播的特点及在健康教育中的应用，组织传播的特点及在健康教育中的应用。</w:t>
      </w:r>
    </w:p>
    <w:p>
      <w:pPr>
        <w:autoSpaceDE/>
        <w:autoSpaceDN/>
        <w:spacing w:line="360" w:lineRule="auto"/>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【思考题】</w:t>
      </w:r>
    </w:p>
    <w:p>
      <w:pPr>
        <w:tabs>
          <w:tab w:val="left" w:pos="312"/>
          <w:tab w:val="left" w:pos="932"/>
        </w:tabs>
        <w:spacing w:line="360" w:lineRule="auto"/>
        <w:ind w:firstLine="320" w:firstLineChars="100"/>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1.简述健康传播的特点。</w:t>
      </w:r>
    </w:p>
    <w:p>
      <w:pPr>
        <w:tabs>
          <w:tab w:val="left" w:pos="932"/>
        </w:tabs>
        <w:spacing w:line="360" w:lineRule="auto"/>
        <w:ind w:firstLine="320" w:firstLineChars="100"/>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2.以糖尿病防治为例，简述影响健康传播效果的因素。</w:t>
      </w:r>
    </w:p>
    <w:p>
      <w:pPr>
        <w:autoSpaceDE/>
        <w:autoSpaceDN/>
        <w:spacing w:line="480" w:lineRule="auto"/>
        <w:jc w:val="center"/>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第五章</w:t>
      </w:r>
      <w:r>
        <w:rPr>
          <w:rFonts w:hint="eastAsia" w:ascii="仿宋" w:hAnsi="仿宋" w:eastAsia="仿宋" w:cs="仿宋"/>
          <w:kern w:val="2"/>
          <w:sz w:val="32"/>
          <w:szCs w:val="32"/>
          <w:lang w:val="en-US" w:bidi="ar-SA"/>
        </w:rPr>
        <w:tab/>
      </w:r>
      <w:r>
        <w:rPr>
          <w:rFonts w:hint="eastAsia" w:ascii="仿宋" w:hAnsi="仿宋" w:eastAsia="仿宋" w:cs="仿宋"/>
          <w:kern w:val="2"/>
          <w:sz w:val="32"/>
          <w:szCs w:val="32"/>
          <w:lang w:val="en-US" w:bidi="ar-SA"/>
        </w:rPr>
        <w:t>健康信息开发及传播材料制作</w:t>
      </w:r>
    </w:p>
    <w:p>
      <w:pPr>
        <w:autoSpaceDE/>
        <w:autoSpaceDN/>
        <w:spacing w:line="360" w:lineRule="auto"/>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【目的要求】</w:t>
      </w:r>
    </w:p>
    <w:p>
      <w:pPr>
        <w:adjustRightInd w:val="0"/>
        <w:snapToGrid w:val="0"/>
        <w:spacing w:line="360" w:lineRule="auto"/>
        <w:ind w:firstLine="640" w:firstLineChars="200"/>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掌握健康信息加工方法、健康传播材料制作流程。熟悉健康传播材料的需求分析，健康信息收集的途径，健康核心信息的获取途径，健康传播材料的预实验、应用与评价。了解健康传播材料的分类，健康传播材料制作应注意的问题。</w:t>
      </w:r>
    </w:p>
    <w:p>
      <w:pPr>
        <w:autoSpaceDE/>
        <w:autoSpaceDN/>
        <w:spacing w:line="360" w:lineRule="auto"/>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【思考题】</w:t>
      </w:r>
    </w:p>
    <w:p>
      <w:pPr>
        <w:pStyle w:val="11"/>
        <w:tabs>
          <w:tab w:val="left" w:pos="932"/>
        </w:tabs>
        <w:spacing w:before="0" w:line="360" w:lineRule="auto"/>
        <w:ind w:left="440" w:leftChars="200" w:firstLine="0"/>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1.如何分析不同人群的健康传播材料需求？</w:t>
      </w:r>
    </w:p>
    <w:p>
      <w:pPr>
        <w:pStyle w:val="11"/>
        <w:tabs>
          <w:tab w:val="left" w:pos="932"/>
        </w:tabs>
        <w:spacing w:before="0" w:line="360" w:lineRule="auto"/>
        <w:ind w:left="440" w:leftChars="200" w:firstLine="0"/>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2.健康传播材料制作的流程是什么？</w:t>
      </w:r>
    </w:p>
    <w:p>
      <w:pPr>
        <w:autoSpaceDE/>
        <w:autoSpaceDN/>
        <w:spacing w:line="480" w:lineRule="auto"/>
        <w:jc w:val="center"/>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第六章  健康教育实用技能</w:t>
      </w:r>
    </w:p>
    <w:p>
      <w:pPr>
        <w:adjustRightInd w:val="0"/>
        <w:snapToGrid w:val="0"/>
        <w:spacing w:line="360" w:lineRule="auto"/>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【目的要求】</w:t>
      </w:r>
    </w:p>
    <w:p>
      <w:pPr>
        <w:adjustRightInd w:val="0"/>
        <w:snapToGrid w:val="0"/>
        <w:spacing w:line="360" w:lineRule="auto"/>
        <w:ind w:firstLine="640" w:firstLineChars="200"/>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掌握专题小组讨论的概念；KABP问卷结构和制作流程；课件制作一般程序；现场讲授与答疑技巧；个体化指导技巧；倡导和动员技能。熟悉专题小组讨论的设计、实施；KABP问卷的评价与使用；科普讲座的概念和特点，科普文章的创作原则；个体化指导策略和实施；倡导和动员定义。了解专题小组讨论的评价；医学科普文章创作流程；科普课件和科普文章的定义；讨论者具备的素养；个体化指导的目标。</w:t>
      </w:r>
    </w:p>
    <w:p>
      <w:pPr>
        <w:autoSpaceDE/>
        <w:autoSpaceDN/>
        <w:spacing w:line="360" w:lineRule="auto"/>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【思考题】</w:t>
      </w:r>
    </w:p>
    <w:p>
      <w:pPr>
        <w:autoSpaceDE/>
        <w:autoSpaceDN/>
        <w:spacing w:line="360" w:lineRule="auto"/>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1.简述健康教育课件制作程序。</w:t>
      </w:r>
    </w:p>
    <w:p>
      <w:pPr>
        <w:autoSpaceDE/>
        <w:autoSpaceDN/>
        <w:spacing w:line="360" w:lineRule="auto"/>
        <w:rPr>
          <w:sz w:val="25"/>
        </w:rPr>
      </w:pPr>
      <w:r>
        <w:rPr>
          <w:rFonts w:hint="eastAsia" w:ascii="仿宋" w:hAnsi="仿宋" w:eastAsia="仿宋" w:cs="仿宋"/>
          <w:kern w:val="2"/>
          <w:sz w:val="32"/>
          <w:szCs w:val="32"/>
          <w:lang w:val="en-US" w:bidi="ar-SA"/>
        </w:rPr>
        <w:t>2.简述现场讲授的技巧。</w:t>
      </w:r>
    </w:p>
    <w:p>
      <w:pPr>
        <w:autoSpaceDE/>
        <w:autoSpaceDN/>
        <w:spacing w:line="480" w:lineRule="auto"/>
        <w:jc w:val="center"/>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第七章</w:t>
      </w:r>
      <w:r>
        <w:rPr>
          <w:rFonts w:hint="eastAsia" w:ascii="仿宋" w:hAnsi="仿宋" w:eastAsia="仿宋" w:cs="仿宋"/>
          <w:kern w:val="2"/>
          <w:sz w:val="32"/>
          <w:szCs w:val="32"/>
          <w:lang w:val="en-US" w:bidi="ar-SA"/>
        </w:rPr>
        <w:tab/>
      </w:r>
      <w:r>
        <w:rPr>
          <w:rFonts w:hint="eastAsia" w:ascii="仿宋" w:hAnsi="仿宋" w:eastAsia="仿宋" w:cs="仿宋"/>
          <w:kern w:val="2"/>
          <w:sz w:val="32"/>
          <w:szCs w:val="32"/>
          <w:lang w:val="en-US" w:bidi="ar-SA"/>
        </w:rPr>
        <w:t>健康教育与健康促进项目管理</w:t>
      </w:r>
    </w:p>
    <w:p>
      <w:pPr>
        <w:autoSpaceDE/>
        <w:autoSpaceDN/>
        <w:spacing w:line="360" w:lineRule="auto"/>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【目的要求】</w:t>
      </w:r>
    </w:p>
    <w:p>
      <w:pPr>
        <w:autoSpaceDE/>
        <w:autoSpaceDN/>
        <w:spacing w:line="360" w:lineRule="auto"/>
        <w:ind w:firstLine="640" w:firstLineChars="200"/>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掌握健康教育与健康促进需求调查、项目设计、实施与评价的相关概念；健康教育与健康促进项目评价的原则、步骤。熟悉项目评价的内容和方法，影响项目评价结果的因素。了解健康教育与健康促进项目评价的意义和种类。</w:t>
      </w:r>
    </w:p>
    <w:p>
      <w:pPr>
        <w:autoSpaceDE/>
        <w:autoSpaceDN/>
        <w:spacing w:line="360" w:lineRule="auto"/>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【思考题】</w:t>
      </w:r>
    </w:p>
    <w:p>
      <w:pPr>
        <w:adjustRightInd w:val="0"/>
        <w:snapToGrid w:val="0"/>
        <w:spacing w:line="360" w:lineRule="auto"/>
        <w:ind w:firstLine="320" w:firstLineChars="100"/>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1.健康教育与健康促进项目实施的五大环节包括哪些内容？</w:t>
      </w:r>
    </w:p>
    <w:p>
      <w:pPr>
        <w:adjustRightInd w:val="0"/>
        <w:snapToGrid w:val="0"/>
        <w:spacing w:line="360" w:lineRule="auto"/>
        <w:ind w:firstLine="320" w:firstLineChars="100"/>
        <w:rPr>
          <w:sz w:val="25"/>
        </w:rPr>
      </w:pPr>
      <w:r>
        <w:rPr>
          <w:rFonts w:hint="eastAsia" w:ascii="仿宋" w:hAnsi="仿宋" w:eastAsia="仿宋" w:cs="仿宋"/>
          <w:kern w:val="2"/>
          <w:sz w:val="32"/>
          <w:szCs w:val="32"/>
          <w:lang w:val="en-US" w:bidi="ar-SA"/>
        </w:rPr>
        <w:t>2.影响健康教育与健康促进项目评价结果的因素有哪些？</w:t>
      </w:r>
    </w:p>
    <w:p>
      <w:pPr>
        <w:autoSpaceDE/>
        <w:autoSpaceDN/>
        <w:spacing w:line="480" w:lineRule="auto"/>
        <w:jc w:val="center"/>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第八章 健康教育活动策划与实施</w:t>
      </w:r>
    </w:p>
    <w:p>
      <w:pPr>
        <w:autoSpaceDE/>
        <w:autoSpaceDN/>
        <w:spacing w:line="360" w:lineRule="auto"/>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【目的要求】</w:t>
      </w:r>
    </w:p>
    <w:p>
      <w:pPr>
        <w:spacing w:before="1" w:line="360" w:lineRule="auto"/>
        <w:ind w:left="161" w:firstLine="496" w:firstLineChars="155"/>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掌握健康教育活动的概念、要素及原则。熟悉健康教育活动策划的步骤及注意事项。了解健康教育活动策划的目的、意义、总结与评价。</w:t>
      </w:r>
    </w:p>
    <w:p>
      <w:pPr>
        <w:autoSpaceDE/>
        <w:autoSpaceDN/>
        <w:spacing w:line="360" w:lineRule="auto"/>
        <w:rPr>
          <w:sz w:val="18"/>
        </w:rPr>
      </w:pPr>
      <w:r>
        <w:rPr>
          <w:rFonts w:hint="eastAsia" w:ascii="仿宋" w:hAnsi="仿宋" w:eastAsia="仿宋" w:cs="仿宋"/>
          <w:kern w:val="2"/>
          <w:sz w:val="32"/>
          <w:szCs w:val="32"/>
          <w:lang w:val="en-US" w:bidi="ar-SA"/>
        </w:rPr>
        <w:t>【思考题】</w:t>
      </w:r>
    </w:p>
    <w:p>
      <w:pPr>
        <w:pStyle w:val="11"/>
        <w:tabs>
          <w:tab w:val="left" w:pos="932"/>
        </w:tabs>
        <w:spacing w:before="1" w:line="360" w:lineRule="auto"/>
        <w:ind w:left="440" w:leftChars="200" w:firstLine="0"/>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1.简述健康教育活动策划的步骤。</w:t>
      </w:r>
    </w:p>
    <w:p>
      <w:pPr>
        <w:pStyle w:val="11"/>
        <w:tabs>
          <w:tab w:val="left" w:pos="932"/>
        </w:tabs>
        <w:spacing w:before="1" w:line="360" w:lineRule="auto"/>
        <w:ind w:left="440" w:leftChars="200" w:firstLine="0"/>
        <w:rPr>
          <w:sz w:val="37"/>
        </w:rPr>
      </w:pPr>
      <w:r>
        <w:rPr>
          <w:rFonts w:hint="eastAsia" w:ascii="仿宋" w:hAnsi="仿宋" w:eastAsia="仿宋" w:cs="仿宋"/>
          <w:kern w:val="2"/>
          <w:sz w:val="32"/>
          <w:szCs w:val="32"/>
          <w:lang w:val="en-US" w:bidi="ar-SA"/>
        </w:rPr>
        <w:t>2.SWOT分析法分别指的是什么？</w:t>
      </w:r>
    </w:p>
    <w:p>
      <w:pPr>
        <w:autoSpaceDE/>
        <w:autoSpaceDN/>
        <w:spacing w:line="480" w:lineRule="auto"/>
        <w:jc w:val="center"/>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第九章 特定人群健康教育</w:t>
      </w:r>
    </w:p>
    <w:p>
      <w:pPr>
        <w:autoSpaceDE/>
        <w:autoSpaceDN/>
        <w:spacing w:line="360" w:lineRule="auto"/>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【目的要求】</w:t>
      </w:r>
    </w:p>
    <w:p>
      <w:pPr>
        <w:spacing w:before="1" w:line="360" w:lineRule="auto"/>
        <w:ind w:left="161" w:firstLine="320" w:firstLineChars="100"/>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掌握老年人、女性、慢性病病人健康教育基本内容和注意事项；儿童健康教育的概念及注意事项。熟悉老年人、慢性病病人生理和心理特点。了解儿童不同年龄阶段健康教育的基本内容、生理和心理特点；不同时期女性的生理特点及心理特点。</w:t>
      </w:r>
    </w:p>
    <w:p>
      <w:pPr>
        <w:autoSpaceDE/>
        <w:autoSpaceDN/>
        <w:spacing w:line="360" w:lineRule="auto"/>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【思考题】</w:t>
      </w:r>
    </w:p>
    <w:p>
      <w:pPr>
        <w:pStyle w:val="11"/>
        <w:tabs>
          <w:tab w:val="left" w:pos="932"/>
        </w:tabs>
        <w:spacing w:before="1" w:line="360" w:lineRule="auto"/>
        <w:ind w:left="440" w:leftChars="200" w:firstLine="0"/>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1.老年人健康教育的内容有哪些？</w:t>
      </w:r>
    </w:p>
    <w:p>
      <w:pPr>
        <w:pStyle w:val="11"/>
        <w:tabs>
          <w:tab w:val="left" w:pos="932"/>
        </w:tabs>
        <w:spacing w:before="1" w:line="360" w:lineRule="auto"/>
        <w:ind w:left="440" w:leftChars="200" w:firstLine="0"/>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2.开展儿童健康教育活动应该注意哪些问题？</w:t>
      </w:r>
    </w:p>
    <w:p>
      <w:pPr>
        <w:pStyle w:val="11"/>
        <w:tabs>
          <w:tab w:val="left" w:pos="932"/>
        </w:tabs>
        <w:spacing w:before="1" w:line="360" w:lineRule="auto"/>
        <w:ind w:left="440" w:leftChars="200" w:firstLine="0"/>
        <w:rPr>
          <w:sz w:val="25"/>
        </w:rPr>
      </w:pPr>
      <w:r>
        <w:rPr>
          <w:rFonts w:hint="eastAsia" w:ascii="仿宋" w:hAnsi="仿宋" w:eastAsia="仿宋" w:cs="仿宋"/>
          <w:kern w:val="2"/>
          <w:sz w:val="32"/>
          <w:szCs w:val="32"/>
          <w:lang w:val="en-US" w:bidi="ar-SA"/>
        </w:rPr>
        <w:t>3.向慢性病病人开展健康教育活动时的注意事项有哪些？</w:t>
      </w:r>
    </w:p>
    <w:p>
      <w:pPr>
        <w:autoSpaceDE/>
        <w:autoSpaceDN/>
        <w:spacing w:line="480" w:lineRule="auto"/>
        <w:jc w:val="center"/>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第十章场所健康教育与健康促进</w:t>
      </w:r>
    </w:p>
    <w:p>
      <w:pPr>
        <w:pStyle w:val="11"/>
        <w:tabs>
          <w:tab w:val="left" w:pos="932"/>
        </w:tabs>
        <w:spacing w:before="1" w:line="360" w:lineRule="auto"/>
        <w:ind w:left="0" w:firstLine="0"/>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【目的要求】</w:t>
      </w:r>
    </w:p>
    <w:p>
      <w:pPr>
        <w:pStyle w:val="11"/>
        <w:tabs>
          <w:tab w:val="left" w:pos="932"/>
        </w:tabs>
        <w:spacing w:before="1" w:line="360" w:lineRule="auto"/>
        <w:ind w:left="440" w:leftChars="200" w:firstLine="640" w:firstLineChars="200"/>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掌握健康中国战略的主题、各健康促进场所专业人员工作策略。熟悉各健康促进场所的概念和标准。了解各健康促进场所的概述。</w:t>
      </w:r>
    </w:p>
    <w:p>
      <w:pPr>
        <w:autoSpaceDE/>
        <w:autoSpaceDN/>
        <w:spacing w:line="360" w:lineRule="auto"/>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【思考题】</w:t>
      </w:r>
    </w:p>
    <w:p>
      <w:pPr>
        <w:pStyle w:val="11"/>
        <w:tabs>
          <w:tab w:val="left" w:pos="932"/>
        </w:tabs>
        <w:spacing w:before="1" w:line="360" w:lineRule="auto"/>
        <w:ind w:left="0" w:firstLine="0"/>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1.简述健康促进社区专业人员工作策略。</w:t>
      </w:r>
    </w:p>
    <w:p>
      <w:pPr>
        <w:pStyle w:val="11"/>
        <w:tabs>
          <w:tab w:val="left" w:pos="932"/>
        </w:tabs>
        <w:spacing w:before="1" w:line="360" w:lineRule="auto"/>
        <w:ind w:left="0" w:firstLine="0"/>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2.简述健康促进城市标准。</w:t>
      </w:r>
    </w:p>
    <w:p>
      <w:pPr>
        <w:spacing w:line="360" w:lineRule="auto"/>
        <w:rPr>
          <w:sz w:val="30"/>
        </w:rPr>
      </w:pPr>
    </w:p>
    <w:p>
      <w:pPr>
        <w:spacing w:line="360" w:lineRule="auto"/>
        <w:rPr>
          <w:sz w:val="30"/>
        </w:rPr>
      </w:pPr>
    </w:p>
    <w:p>
      <w:pPr>
        <w:spacing w:line="360" w:lineRule="auto"/>
        <w:rPr>
          <w:sz w:val="30"/>
        </w:rPr>
      </w:pPr>
    </w:p>
    <w:p>
      <w:pPr>
        <w:spacing w:line="360" w:lineRule="auto"/>
        <w:rPr>
          <w:sz w:val="30"/>
        </w:rPr>
      </w:pPr>
    </w:p>
    <w:p>
      <w:pPr>
        <w:spacing w:line="360" w:lineRule="auto"/>
        <w:rPr>
          <w:sz w:val="30"/>
        </w:rPr>
      </w:pPr>
    </w:p>
    <w:p>
      <w:pPr>
        <w:spacing w:line="360" w:lineRule="auto"/>
        <w:rPr>
          <w:sz w:val="30"/>
        </w:rPr>
      </w:pPr>
    </w:p>
    <w:p>
      <w:pPr>
        <w:autoSpaceDE/>
        <w:autoSpaceDN/>
        <w:spacing w:line="360" w:lineRule="auto"/>
        <w:jc w:val="both"/>
        <w:rPr>
          <w:rFonts w:ascii="Times New Roman" w:hAnsi="Times New Roman" w:cs="Times New Roman"/>
          <w:kern w:val="2"/>
          <w:sz w:val="30"/>
          <w:szCs w:val="24"/>
          <w:lang w:val="en-US" w:bidi="ar-SA"/>
        </w:rPr>
      </w:pPr>
      <w:r>
        <w:rPr>
          <w:rFonts w:hint="eastAsia" w:ascii="Times New Roman" w:hAnsi="Times New Roman" w:cs="Times New Roman"/>
          <w:kern w:val="2"/>
          <w:sz w:val="30"/>
          <w:szCs w:val="24"/>
          <w:lang w:val="en-US" w:bidi="ar-SA"/>
        </w:rPr>
        <w:t>【附录】</w:t>
      </w:r>
    </w:p>
    <w:p>
      <w:pPr>
        <w:ind w:firstLine="3123" w:firstLineChars="864"/>
        <w:rPr>
          <w:sz w:val="48"/>
        </w:rPr>
      </w:pPr>
      <w:r>
        <w:rPr>
          <w:rFonts w:hint="eastAsia"/>
          <w:b/>
          <w:sz w:val="36"/>
        </w:rPr>
        <w:t>题型举</w:t>
      </w:r>
      <w:bookmarkStart w:id="0" w:name="_GoBack"/>
      <w:bookmarkEnd w:id="0"/>
      <w:r>
        <w:rPr>
          <w:rFonts w:hint="eastAsia"/>
          <w:b/>
          <w:sz w:val="36"/>
        </w:rPr>
        <w:t>例</w:t>
      </w:r>
    </w:p>
    <w:p>
      <w:pPr>
        <w:pStyle w:val="5"/>
        <w:spacing w:before="12"/>
        <w:rPr>
          <w:rFonts w:ascii="黑体"/>
        </w:rPr>
      </w:pPr>
    </w:p>
    <w:p>
      <w:pPr>
        <w:autoSpaceDE/>
        <w:autoSpaceDN/>
        <w:spacing w:line="360" w:lineRule="auto"/>
        <w:jc w:val="both"/>
        <w:rPr>
          <w:rFonts w:ascii="黑体" w:eastAsia="黑体" w:cs="Times New Roman"/>
          <w:kern w:val="2"/>
          <w:sz w:val="21"/>
          <w:szCs w:val="21"/>
          <w:lang w:val="en-US" w:bidi="ar-SA"/>
        </w:rPr>
      </w:pPr>
      <w:r>
        <w:rPr>
          <w:rFonts w:hint="eastAsia" w:ascii="黑体" w:eastAsia="黑体" w:cs="Times New Roman"/>
          <w:kern w:val="2"/>
          <w:sz w:val="21"/>
          <w:szCs w:val="21"/>
          <w:lang w:val="en-US" w:bidi="ar-SA"/>
        </w:rPr>
        <w:t>一、单项选择题（本大题共 20 小题，每小题 1 分，共 20 分。在每小题列出的备选项中只有一项是最符合题目要求的，请将其选出。）</w:t>
      </w:r>
    </w:p>
    <w:p>
      <w:pPr>
        <w:autoSpaceDE/>
        <w:autoSpaceDN/>
        <w:spacing w:line="360" w:lineRule="auto"/>
        <w:jc w:val="both"/>
        <w:rPr>
          <w:rFonts w:ascii="Times New Roman" w:hAnsi="Times New Roman" w:cs="Times New Roman"/>
          <w:kern w:val="2"/>
          <w:sz w:val="21"/>
          <w:szCs w:val="21"/>
          <w:lang w:val="en-US" w:bidi="ar-SA"/>
        </w:rPr>
      </w:pPr>
      <w:r>
        <w:rPr>
          <w:rFonts w:ascii="Times New Roman" w:hAnsi="Times New Roman" w:cs="Times New Roman"/>
          <w:kern w:val="2"/>
          <w:sz w:val="21"/>
          <w:szCs w:val="21"/>
          <w:lang w:val="en-US" w:bidi="ar-SA"/>
        </w:rPr>
        <w:t>1、下列说法错误的是</w:t>
      </w:r>
      <w:r>
        <w:rPr>
          <w:rFonts w:ascii="Times New Roman" w:hAnsi="Times New Roman" w:cs="Times New Roman"/>
          <w:kern w:val="2"/>
          <w:sz w:val="21"/>
          <w:szCs w:val="21"/>
          <w:lang w:val="en-US" w:bidi="ar-SA"/>
        </w:rPr>
        <w:tab/>
      </w:r>
      <w:r>
        <w:rPr>
          <w:rFonts w:ascii="Times New Roman" w:hAnsi="Times New Roman" w:cs="Times New Roman"/>
          <w:kern w:val="2"/>
          <w:sz w:val="21"/>
          <w:szCs w:val="21"/>
          <w:lang w:val="en-US" w:bidi="ar-SA"/>
        </w:rPr>
        <w:t>【  C   】</w:t>
      </w:r>
    </w:p>
    <w:p>
      <w:pPr>
        <w:autoSpaceDE/>
        <w:autoSpaceDN/>
        <w:spacing w:line="360" w:lineRule="auto"/>
        <w:ind w:left="220" w:leftChars="100"/>
        <w:jc w:val="both"/>
        <w:rPr>
          <w:rFonts w:ascii="Times New Roman" w:hAnsi="Times New Roman" w:cs="Times New Roman"/>
          <w:kern w:val="2"/>
          <w:sz w:val="21"/>
          <w:szCs w:val="21"/>
          <w:lang w:val="en-US" w:bidi="ar-SA"/>
        </w:rPr>
      </w:pPr>
      <w:r>
        <w:rPr>
          <w:rFonts w:ascii="Times New Roman" w:hAnsi="Times New Roman" w:cs="Times New Roman"/>
          <w:kern w:val="2"/>
          <w:sz w:val="21"/>
          <w:szCs w:val="21"/>
          <w:lang w:val="en-US" w:bidi="ar-SA"/>
        </w:rPr>
        <w:t xml:space="preserve">A.健康教育以赋权，帮助人群行为改变为目标 </w:t>
      </w:r>
    </w:p>
    <w:p>
      <w:pPr>
        <w:autoSpaceDE/>
        <w:autoSpaceDN/>
        <w:spacing w:line="360" w:lineRule="auto"/>
        <w:ind w:left="220" w:leftChars="100"/>
        <w:jc w:val="both"/>
        <w:rPr>
          <w:rFonts w:ascii="Times New Roman" w:hAnsi="Times New Roman" w:cs="Times New Roman"/>
          <w:kern w:val="2"/>
          <w:sz w:val="21"/>
          <w:szCs w:val="21"/>
          <w:lang w:val="en-US" w:bidi="ar-SA"/>
        </w:rPr>
      </w:pPr>
      <w:r>
        <w:rPr>
          <w:rFonts w:ascii="Times New Roman" w:hAnsi="Times New Roman" w:cs="Times New Roman"/>
          <w:kern w:val="2"/>
          <w:sz w:val="21"/>
          <w:szCs w:val="21"/>
          <w:lang w:val="en-US" w:bidi="ar-SA"/>
        </w:rPr>
        <w:t>B.健康教育具有多学科性</w:t>
      </w:r>
    </w:p>
    <w:p>
      <w:pPr>
        <w:autoSpaceDE/>
        <w:autoSpaceDN/>
        <w:spacing w:line="360" w:lineRule="auto"/>
        <w:ind w:left="220" w:leftChars="100"/>
        <w:jc w:val="both"/>
        <w:rPr>
          <w:rFonts w:ascii="Times New Roman" w:hAnsi="Times New Roman" w:cs="Times New Roman"/>
          <w:kern w:val="2"/>
          <w:sz w:val="21"/>
          <w:szCs w:val="21"/>
          <w:lang w:val="en-US" w:bidi="ar-SA"/>
        </w:rPr>
      </w:pPr>
      <w:r>
        <w:rPr>
          <w:rFonts w:ascii="Times New Roman" w:hAnsi="Times New Roman" w:cs="Times New Roman"/>
          <w:kern w:val="2"/>
          <w:sz w:val="21"/>
          <w:szCs w:val="21"/>
          <w:lang w:val="en-US" w:bidi="ar-SA"/>
        </w:rPr>
        <w:t>C.健康教育即卫生宣教</w:t>
      </w:r>
      <w:r>
        <w:rPr>
          <w:rFonts w:ascii="Times New Roman" w:hAnsi="Times New Roman" w:cs="Times New Roman"/>
          <w:kern w:val="2"/>
          <w:sz w:val="21"/>
          <w:szCs w:val="21"/>
          <w:lang w:val="en-US" w:bidi="ar-SA"/>
        </w:rPr>
        <w:tab/>
      </w:r>
    </w:p>
    <w:p>
      <w:pPr>
        <w:autoSpaceDE/>
        <w:autoSpaceDN/>
        <w:spacing w:line="360" w:lineRule="auto"/>
        <w:ind w:left="220" w:leftChars="100"/>
        <w:jc w:val="both"/>
        <w:rPr>
          <w:rFonts w:ascii="Times New Roman" w:hAnsi="Times New Roman" w:cs="Times New Roman"/>
          <w:kern w:val="2"/>
          <w:sz w:val="21"/>
          <w:szCs w:val="21"/>
          <w:lang w:val="en-US" w:bidi="ar-SA"/>
        </w:rPr>
      </w:pPr>
      <w:r>
        <w:rPr>
          <w:rFonts w:ascii="Times New Roman" w:hAnsi="Times New Roman" w:cs="Times New Roman"/>
          <w:kern w:val="2"/>
          <w:sz w:val="21"/>
          <w:szCs w:val="21"/>
          <w:lang w:val="en-US" w:bidi="ar-SA"/>
        </w:rPr>
        <w:t>D.健康教育的评价具有不确定和长期性</w:t>
      </w:r>
    </w:p>
    <w:p>
      <w:pPr>
        <w:autoSpaceDE/>
        <w:autoSpaceDN/>
        <w:spacing w:line="360" w:lineRule="auto"/>
        <w:jc w:val="both"/>
      </w:pPr>
      <w:r>
        <w:rPr>
          <w:rFonts w:ascii="Times New Roman" w:eastAsia="Times New Roman"/>
        </w:rPr>
        <w:t>2</w:t>
      </w:r>
      <w:r>
        <w:t>、健康教育的实质是</w:t>
      </w:r>
      <w:r>
        <w:tab/>
      </w:r>
      <w:r>
        <w:t xml:space="preserve">【 </w:t>
      </w:r>
      <w:r>
        <w:rPr>
          <w:rFonts w:ascii="Times New Roman" w:eastAsia="Times New Roman"/>
        </w:rPr>
        <w:t>C</w:t>
      </w:r>
      <w:r>
        <w:rPr>
          <w:rFonts w:ascii="Times New Roman" w:eastAsia="Times New Roman"/>
          <w:spacing w:val="58"/>
        </w:rPr>
        <w:t xml:space="preserve"> </w:t>
      </w:r>
      <w:r>
        <w:t>】</w:t>
      </w:r>
    </w:p>
    <w:p>
      <w:pPr>
        <w:autoSpaceDE/>
        <w:autoSpaceDN/>
        <w:spacing w:line="360" w:lineRule="auto"/>
        <w:ind w:left="220" w:leftChars="100"/>
        <w:jc w:val="both"/>
        <w:rPr>
          <w:rFonts w:ascii="Times New Roman" w:hAnsi="Times New Roman" w:cs="Times New Roman"/>
          <w:kern w:val="2"/>
          <w:sz w:val="21"/>
          <w:szCs w:val="21"/>
          <w:lang w:val="en-US" w:bidi="ar-SA"/>
        </w:rPr>
      </w:pPr>
      <w:r>
        <w:rPr>
          <w:rFonts w:ascii="Times New Roman" w:hAnsi="Times New Roman" w:cs="Times New Roman"/>
          <w:kern w:val="2"/>
          <w:sz w:val="21"/>
          <w:szCs w:val="21"/>
          <w:lang w:val="en-US" w:bidi="ar-SA"/>
        </w:rPr>
        <w:t xml:space="preserve">A.卫生宣传 </w:t>
      </w:r>
    </w:p>
    <w:p>
      <w:pPr>
        <w:autoSpaceDE/>
        <w:autoSpaceDN/>
        <w:spacing w:line="360" w:lineRule="auto"/>
        <w:ind w:left="220" w:leftChars="100"/>
        <w:jc w:val="both"/>
        <w:rPr>
          <w:rFonts w:ascii="Times New Roman" w:hAnsi="Times New Roman" w:cs="Times New Roman"/>
          <w:kern w:val="2"/>
          <w:sz w:val="21"/>
          <w:szCs w:val="21"/>
          <w:lang w:val="en-US" w:bidi="ar-SA"/>
        </w:rPr>
      </w:pPr>
      <w:r>
        <w:rPr>
          <w:rFonts w:ascii="Times New Roman" w:hAnsi="Times New Roman" w:cs="Times New Roman"/>
          <w:kern w:val="2"/>
          <w:sz w:val="21"/>
          <w:szCs w:val="21"/>
          <w:lang w:val="en-US" w:bidi="ar-SA"/>
        </w:rPr>
        <w:t xml:space="preserve">B.一种干预 </w:t>
      </w:r>
    </w:p>
    <w:p>
      <w:pPr>
        <w:autoSpaceDE/>
        <w:autoSpaceDN/>
        <w:spacing w:line="360" w:lineRule="auto"/>
        <w:ind w:left="220" w:leftChars="100"/>
        <w:jc w:val="both"/>
        <w:rPr>
          <w:rFonts w:ascii="Times New Roman" w:hAnsi="Times New Roman" w:cs="Times New Roman"/>
          <w:kern w:val="2"/>
          <w:sz w:val="21"/>
          <w:szCs w:val="21"/>
          <w:lang w:val="en-US" w:bidi="ar-SA"/>
        </w:rPr>
      </w:pPr>
      <w:r>
        <w:rPr>
          <w:rFonts w:ascii="Times New Roman" w:hAnsi="Times New Roman" w:cs="Times New Roman"/>
          <w:kern w:val="2"/>
          <w:sz w:val="21"/>
          <w:szCs w:val="21"/>
          <w:lang w:val="en-US" w:bidi="ar-SA"/>
        </w:rPr>
        <w:t xml:space="preserve">C.促进健康  </w:t>
      </w:r>
    </w:p>
    <w:p>
      <w:pPr>
        <w:autoSpaceDE/>
        <w:autoSpaceDN/>
        <w:spacing w:line="360" w:lineRule="auto"/>
        <w:ind w:left="220" w:leftChars="100"/>
        <w:jc w:val="both"/>
        <w:rPr>
          <w:rFonts w:ascii="Times New Roman" w:hAnsi="Times New Roman" w:cs="Times New Roman"/>
          <w:kern w:val="2"/>
          <w:sz w:val="21"/>
          <w:szCs w:val="21"/>
          <w:lang w:val="en-US" w:bidi="ar-SA"/>
        </w:rPr>
      </w:pPr>
      <w:r>
        <w:rPr>
          <w:rFonts w:ascii="Times New Roman" w:hAnsi="Times New Roman" w:cs="Times New Roman"/>
          <w:kern w:val="2"/>
          <w:sz w:val="21"/>
          <w:szCs w:val="21"/>
          <w:lang w:val="en-US" w:bidi="ar-SA"/>
        </w:rPr>
        <w:t>D.预防疾病</w:t>
      </w:r>
    </w:p>
    <w:p>
      <w:pPr>
        <w:autoSpaceDE/>
        <w:autoSpaceDN/>
        <w:spacing w:line="360" w:lineRule="auto"/>
        <w:jc w:val="both"/>
        <w:rPr>
          <w:rFonts w:ascii="黑体" w:eastAsia="黑体" w:cs="Times New Roman"/>
          <w:kern w:val="2"/>
          <w:sz w:val="21"/>
          <w:szCs w:val="21"/>
          <w:lang w:val="en-US" w:bidi="ar-SA"/>
        </w:rPr>
      </w:pPr>
      <w:r>
        <w:rPr>
          <w:rFonts w:hint="eastAsia" w:ascii="黑体" w:eastAsia="黑体" w:cs="Times New Roman"/>
          <w:kern w:val="2"/>
          <w:sz w:val="21"/>
          <w:szCs w:val="21"/>
          <w:lang w:val="en-US" w:bidi="ar-SA"/>
        </w:rPr>
        <w:t>二、多项选择题（本大题共 10 小题，每小题 2 分，共 20 分。在每小题列出的备选项中至少有两项是符合题目要求的，请将其选出，错选、多选或少选均无分。）</w:t>
      </w:r>
    </w:p>
    <w:p>
      <w:pPr>
        <w:autoSpaceDE/>
        <w:autoSpaceDN/>
        <w:spacing w:line="360" w:lineRule="auto"/>
        <w:ind w:left="220" w:leftChars="100"/>
        <w:jc w:val="both"/>
        <w:rPr>
          <w:rFonts w:ascii="Times New Roman" w:hAnsi="Times New Roman" w:cs="Times New Roman"/>
          <w:kern w:val="2"/>
          <w:sz w:val="21"/>
          <w:szCs w:val="21"/>
          <w:lang w:val="en-US" w:bidi="ar-SA"/>
        </w:rPr>
      </w:pPr>
      <w:r>
        <w:rPr>
          <w:rFonts w:hint="eastAsia" w:ascii="Times New Roman" w:hAnsi="Times New Roman" w:cs="Times New Roman"/>
          <w:kern w:val="2"/>
          <w:sz w:val="21"/>
          <w:szCs w:val="21"/>
          <w:lang w:val="en-US" w:bidi="ar-SA"/>
        </w:rPr>
        <w:t>1、我国不同时期卫生工作方针都包含的有</w:t>
      </w:r>
      <w:r>
        <w:rPr>
          <w:rFonts w:hint="eastAsia" w:ascii="Times New Roman" w:hAnsi="Times New Roman" w:cs="Times New Roman"/>
          <w:kern w:val="2"/>
          <w:sz w:val="21"/>
          <w:szCs w:val="21"/>
          <w:lang w:val="en-US" w:bidi="ar-SA"/>
        </w:rPr>
        <w:tab/>
      </w:r>
      <w:r>
        <w:rPr>
          <w:rFonts w:hint="eastAsia" w:ascii="Times New Roman" w:hAnsi="Times New Roman" w:cs="Times New Roman"/>
          <w:kern w:val="2"/>
          <w:sz w:val="21"/>
          <w:szCs w:val="21"/>
          <w:lang w:val="en-US" w:bidi="ar-SA"/>
        </w:rPr>
        <w:t>【 ABC 】</w:t>
      </w:r>
    </w:p>
    <w:p>
      <w:pPr>
        <w:autoSpaceDE/>
        <w:autoSpaceDN/>
        <w:spacing w:line="360" w:lineRule="auto"/>
        <w:ind w:left="220" w:leftChars="100"/>
        <w:jc w:val="both"/>
        <w:rPr>
          <w:rFonts w:ascii="Times New Roman" w:hAnsi="Times New Roman" w:cs="Times New Roman"/>
          <w:kern w:val="2"/>
          <w:sz w:val="21"/>
          <w:szCs w:val="21"/>
          <w:lang w:val="en-US" w:bidi="ar-SA"/>
        </w:rPr>
      </w:pPr>
      <w:r>
        <w:rPr>
          <w:rFonts w:ascii="Times New Roman" w:hAnsi="Times New Roman" w:cs="Times New Roman"/>
          <w:kern w:val="2"/>
          <w:sz w:val="21"/>
          <w:szCs w:val="21"/>
          <w:lang w:val="en-US" w:bidi="ar-SA"/>
        </w:rPr>
        <w:t>A.预防为主</w:t>
      </w:r>
      <w:r>
        <w:rPr>
          <w:rFonts w:ascii="Times New Roman" w:hAnsi="Times New Roman" w:cs="Times New Roman"/>
          <w:kern w:val="2"/>
          <w:sz w:val="21"/>
          <w:szCs w:val="21"/>
          <w:lang w:val="en-US" w:bidi="ar-SA"/>
        </w:rPr>
        <w:tab/>
      </w:r>
    </w:p>
    <w:p>
      <w:pPr>
        <w:autoSpaceDE/>
        <w:autoSpaceDN/>
        <w:spacing w:line="360" w:lineRule="auto"/>
        <w:ind w:left="220" w:leftChars="100"/>
        <w:jc w:val="both"/>
        <w:rPr>
          <w:rFonts w:ascii="Times New Roman" w:hAnsi="Times New Roman" w:cs="Times New Roman"/>
          <w:kern w:val="2"/>
          <w:sz w:val="21"/>
          <w:szCs w:val="21"/>
          <w:lang w:val="en-US" w:bidi="ar-SA"/>
        </w:rPr>
      </w:pPr>
      <w:r>
        <w:rPr>
          <w:rFonts w:ascii="Times New Roman" w:hAnsi="Times New Roman" w:cs="Times New Roman"/>
          <w:kern w:val="2"/>
          <w:sz w:val="21"/>
          <w:szCs w:val="21"/>
          <w:lang w:val="en-US" w:bidi="ar-SA"/>
        </w:rPr>
        <w:t>B.共建共享</w:t>
      </w:r>
      <w:r>
        <w:rPr>
          <w:rFonts w:ascii="Times New Roman" w:hAnsi="Times New Roman" w:cs="Times New Roman"/>
          <w:kern w:val="2"/>
          <w:sz w:val="21"/>
          <w:szCs w:val="21"/>
          <w:lang w:val="en-US" w:bidi="ar-SA"/>
        </w:rPr>
        <w:tab/>
      </w:r>
    </w:p>
    <w:p>
      <w:pPr>
        <w:autoSpaceDE/>
        <w:autoSpaceDN/>
        <w:spacing w:line="360" w:lineRule="auto"/>
        <w:ind w:left="220" w:leftChars="100"/>
        <w:jc w:val="both"/>
        <w:rPr>
          <w:rFonts w:ascii="Times New Roman" w:hAnsi="Times New Roman" w:cs="Times New Roman"/>
          <w:kern w:val="2"/>
          <w:sz w:val="21"/>
          <w:szCs w:val="21"/>
          <w:lang w:val="en-US" w:bidi="ar-SA"/>
        </w:rPr>
      </w:pPr>
      <w:r>
        <w:rPr>
          <w:rFonts w:ascii="Times New Roman" w:hAnsi="Times New Roman" w:cs="Times New Roman"/>
          <w:kern w:val="2"/>
          <w:sz w:val="21"/>
          <w:szCs w:val="21"/>
          <w:lang w:val="en-US" w:bidi="ar-SA"/>
        </w:rPr>
        <w:t>C.中西医并重</w:t>
      </w:r>
      <w:r>
        <w:rPr>
          <w:rFonts w:ascii="Times New Roman" w:hAnsi="Times New Roman" w:cs="Times New Roman"/>
          <w:kern w:val="2"/>
          <w:sz w:val="21"/>
          <w:szCs w:val="21"/>
          <w:lang w:val="en-US" w:bidi="ar-SA"/>
        </w:rPr>
        <w:tab/>
      </w:r>
    </w:p>
    <w:p>
      <w:pPr>
        <w:autoSpaceDE/>
        <w:autoSpaceDN/>
        <w:spacing w:line="360" w:lineRule="auto"/>
        <w:ind w:left="220" w:leftChars="100"/>
        <w:jc w:val="both"/>
        <w:rPr>
          <w:rFonts w:ascii="Times New Roman" w:hAnsi="Times New Roman" w:cs="Times New Roman"/>
          <w:kern w:val="2"/>
          <w:sz w:val="21"/>
          <w:szCs w:val="21"/>
          <w:lang w:val="en-US" w:bidi="ar-SA"/>
        </w:rPr>
      </w:pPr>
      <w:r>
        <w:rPr>
          <w:rFonts w:ascii="Times New Roman" w:hAnsi="Times New Roman" w:cs="Times New Roman"/>
          <w:kern w:val="2"/>
          <w:sz w:val="21"/>
          <w:szCs w:val="21"/>
          <w:lang w:val="en-US" w:bidi="ar-SA"/>
        </w:rPr>
        <w:t>D.将健康融入所有政策</w:t>
      </w:r>
      <w:r>
        <w:rPr>
          <w:rFonts w:ascii="Times New Roman" w:hAnsi="Times New Roman" w:cs="Times New Roman"/>
          <w:kern w:val="2"/>
          <w:sz w:val="21"/>
          <w:szCs w:val="21"/>
          <w:lang w:val="en-US" w:bidi="ar-SA"/>
        </w:rPr>
        <w:tab/>
      </w:r>
    </w:p>
    <w:p>
      <w:pPr>
        <w:autoSpaceDE/>
        <w:autoSpaceDN/>
        <w:spacing w:line="360" w:lineRule="auto"/>
        <w:ind w:left="220" w:leftChars="100"/>
        <w:jc w:val="both"/>
        <w:rPr>
          <w:rFonts w:ascii="Times New Roman" w:hAnsi="Times New Roman" w:cs="Times New Roman"/>
          <w:kern w:val="2"/>
          <w:sz w:val="21"/>
          <w:szCs w:val="21"/>
          <w:lang w:val="en-US" w:bidi="ar-SA"/>
        </w:rPr>
      </w:pPr>
      <w:r>
        <w:rPr>
          <w:rFonts w:ascii="Times New Roman" w:hAnsi="Times New Roman" w:cs="Times New Roman"/>
          <w:kern w:val="2"/>
          <w:sz w:val="21"/>
          <w:szCs w:val="21"/>
          <w:lang w:val="en-US" w:bidi="ar-SA"/>
        </w:rPr>
        <w:t>E.人民共建共享</w:t>
      </w:r>
    </w:p>
    <w:p>
      <w:pPr>
        <w:autoSpaceDE/>
        <w:autoSpaceDN/>
        <w:spacing w:line="360" w:lineRule="auto"/>
        <w:ind w:left="220" w:leftChars="100"/>
        <w:jc w:val="both"/>
        <w:rPr>
          <w:rFonts w:ascii="Times New Roman" w:hAnsi="Times New Roman" w:cs="Times New Roman"/>
          <w:kern w:val="2"/>
          <w:sz w:val="21"/>
          <w:szCs w:val="21"/>
          <w:lang w:val="en-US" w:bidi="ar-SA"/>
        </w:rPr>
      </w:pPr>
      <w:r>
        <w:rPr>
          <w:rFonts w:ascii="Times New Roman" w:hAnsi="Times New Roman" w:cs="Times New Roman"/>
          <w:kern w:val="2"/>
          <w:sz w:val="21"/>
          <w:szCs w:val="21"/>
          <w:lang w:val="en-US" w:bidi="ar-SA"/>
        </w:rPr>
        <w:t>2、一个成功的活动策划需要遵循的原则包括</w:t>
      </w:r>
      <w:r>
        <w:rPr>
          <w:rFonts w:ascii="Times New Roman" w:hAnsi="Times New Roman" w:cs="Times New Roman"/>
          <w:kern w:val="2"/>
          <w:sz w:val="21"/>
          <w:szCs w:val="21"/>
          <w:lang w:val="en-US" w:bidi="ar-SA"/>
        </w:rPr>
        <w:tab/>
      </w:r>
      <w:r>
        <w:rPr>
          <w:rFonts w:ascii="Times New Roman" w:hAnsi="Times New Roman" w:cs="Times New Roman"/>
          <w:kern w:val="2"/>
          <w:sz w:val="21"/>
          <w:szCs w:val="21"/>
          <w:lang w:val="en-US" w:bidi="ar-SA"/>
        </w:rPr>
        <w:t>【 ABCDE 】</w:t>
      </w:r>
    </w:p>
    <w:p>
      <w:pPr>
        <w:autoSpaceDE/>
        <w:autoSpaceDN/>
        <w:spacing w:line="360" w:lineRule="auto"/>
        <w:ind w:left="220" w:leftChars="100"/>
        <w:jc w:val="both"/>
        <w:rPr>
          <w:rFonts w:ascii="Times New Roman" w:hAnsi="Times New Roman" w:cs="Times New Roman"/>
          <w:kern w:val="2"/>
          <w:sz w:val="21"/>
          <w:szCs w:val="21"/>
          <w:lang w:val="en-US" w:bidi="ar-SA"/>
        </w:rPr>
      </w:pPr>
      <w:r>
        <w:rPr>
          <w:rFonts w:ascii="Times New Roman" w:hAnsi="Times New Roman" w:cs="Times New Roman"/>
          <w:kern w:val="2"/>
          <w:sz w:val="21"/>
          <w:szCs w:val="21"/>
          <w:lang w:val="en-US" w:bidi="ar-SA"/>
        </w:rPr>
        <w:t>A.科学性原则</w:t>
      </w:r>
      <w:r>
        <w:rPr>
          <w:rFonts w:ascii="Times New Roman" w:hAnsi="Times New Roman" w:cs="Times New Roman"/>
          <w:kern w:val="2"/>
          <w:sz w:val="21"/>
          <w:szCs w:val="21"/>
          <w:lang w:val="en-US" w:bidi="ar-SA"/>
        </w:rPr>
        <w:tab/>
      </w:r>
    </w:p>
    <w:p>
      <w:pPr>
        <w:autoSpaceDE/>
        <w:autoSpaceDN/>
        <w:spacing w:line="360" w:lineRule="auto"/>
        <w:ind w:left="220" w:leftChars="100"/>
        <w:jc w:val="both"/>
        <w:rPr>
          <w:rFonts w:ascii="Times New Roman" w:hAnsi="Times New Roman" w:cs="Times New Roman"/>
          <w:kern w:val="2"/>
          <w:sz w:val="21"/>
          <w:szCs w:val="21"/>
          <w:lang w:val="en-US" w:bidi="ar-SA"/>
        </w:rPr>
      </w:pPr>
      <w:r>
        <w:rPr>
          <w:rFonts w:ascii="Times New Roman" w:hAnsi="Times New Roman" w:cs="Times New Roman"/>
          <w:kern w:val="2"/>
          <w:sz w:val="21"/>
          <w:szCs w:val="21"/>
          <w:lang w:val="en-US" w:bidi="ar-SA"/>
        </w:rPr>
        <w:t>B.可及性原则</w:t>
      </w:r>
      <w:r>
        <w:rPr>
          <w:rFonts w:ascii="Times New Roman" w:hAnsi="Times New Roman" w:cs="Times New Roman"/>
          <w:kern w:val="2"/>
          <w:sz w:val="21"/>
          <w:szCs w:val="21"/>
          <w:lang w:val="en-US" w:bidi="ar-SA"/>
        </w:rPr>
        <w:tab/>
      </w:r>
    </w:p>
    <w:p>
      <w:pPr>
        <w:autoSpaceDE/>
        <w:autoSpaceDN/>
        <w:spacing w:line="360" w:lineRule="auto"/>
        <w:ind w:left="220" w:leftChars="100"/>
        <w:jc w:val="both"/>
        <w:rPr>
          <w:rFonts w:ascii="Times New Roman" w:hAnsi="Times New Roman" w:cs="Times New Roman"/>
          <w:kern w:val="2"/>
          <w:sz w:val="21"/>
          <w:szCs w:val="21"/>
          <w:lang w:val="en-US" w:bidi="ar-SA"/>
        </w:rPr>
      </w:pPr>
      <w:r>
        <w:rPr>
          <w:rFonts w:ascii="Times New Roman" w:hAnsi="Times New Roman" w:cs="Times New Roman"/>
          <w:kern w:val="2"/>
          <w:sz w:val="21"/>
          <w:szCs w:val="21"/>
          <w:lang w:val="en-US" w:bidi="ar-SA"/>
        </w:rPr>
        <w:t>C.实用性原则</w:t>
      </w:r>
      <w:r>
        <w:rPr>
          <w:rFonts w:ascii="Times New Roman" w:hAnsi="Times New Roman" w:cs="Times New Roman"/>
          <w:kern w:val="2"/>
          <w:sz w:val="21"/>
          <w:szCs w:val="21"/>
          <w:lang w:val="en-US" w:bidi="ar-SA"/>
        </w:rPr>
        <w:tab/>
      </w:r>
    </w:p>
    <w:p>
      <w:pPr>
        <w:autoSpaceDE/>
        <w:autoSpaceDN/>
        <w:spacing w:line="360" w:lineRule="auto"/>
        <w:ind w:left="220" w:leftChars="100"/>
        <w:jc w:val="both"/>
        <w:rPr>
          <w:rFonts w:ascii="Times New Roman" w:hAnsi="Times New Roman" w:cs="Times New Roman"/>
          <w:kern w:val="2"/>
          <w:sz w:val="21"/>
          <w:szCs w:val="21"/>
          <w:lang w:val="en-US" w:bidi="ar-SA"/>
        </w:rPr>
      </w:pPr>
      <w:r>
        <w:rPr>
          <w:rFonts w:ascii="Times New Roman" w:hAnsi="Times New Roman" w:cs="Times New Roman"/>
          <w:kern w:val="2"/>
          <w:sz w:val="21"/>
          <w:szCs w:val="21"/>
          <w:lang w:val="en-US" w:bidi="ar-SA"/>
        </w:rPr>
        <w:t>D.可持续原则</w:t>
      </w:r>
      <w:r>
        <w:rPr>
          <w:rFonts w:ascii="Times New Roman" w:hAnsi="Times New Roman" w:cs="Times New Roman"/>
          <w:kern w:val="2"/>
          <w:sz w:val="21"/>
          <w:szCs w:val="21"/>
          <w:lang w:val="en-US" w:bidi="ar-SA"/>
        </w:rPr>
        <w:tab/>
      </w:r>
    </w:p>
    <w:p>
      <w:pPr>
        <w:autoSpaceDE/>
        <w:autoSpaceDN/>
        <w:spacing w:line="360" w:lineRule="auto"/>
        <w:ind w:left="220" w:leftChars="100"/>
        <w:jc w:val="both"/>
        <w:rPr>
          <w:rFonts w:ascii="Times New Roman" w:hAnsi="Times New Roman" w:cs="Times New Roman"/>
          <w:kern w:val="2"/>
          <w:sz w:val="21"/>
          <w:szCs w:val="21"/>
          <w:lang w:val="en-US" w:bidi="ar-SA"/>
        </w:rPr>
      </w:pPr>
      <w:r>
        <w:rPr>
          <w:rFonts w:ascii="Times New Roman" w:hAnsi="Times New Roman" w:cs="Times New Roman"/>
          <w:kern w:val="2"/>
          <w:sz w:val="21"/>
          <w:szCs w:val="21"/>
          <w:lang w:val="en-US" w:bidi="ar-SA"/>
        </w:rPr>
        <w:t>E.经济性原则</w:t>
      </w:r>
    </w:p>
    <w:p>
      <w:pPr>
        <w:autoSpaceDE/>
        <w:autoSpaceDN/>
        <w:spacing w:line="360" w:lineRule="auto"/>
        <w:jc w:val="both"/>
        <w:rPr>
          <w:rFonts w:ascii="黑体" w:eastAsia="黑体" w:cs="Times New Roman"/>
          <w:kern w:val="2"/>
          <w:sz w:val="21"/>
          <w:szCs w:val="21"/>
          <w:lang w:val="en-US" w:bidi="ar-SA"/>
        </w:rPr>
      </w:pPr>
      <w:r>
        <w:rPr>
          <w:rFonts w:hint="eastAsia" w:ascii="黑体" w:eastAsia="黑体" w:cs="Times New Roman"/>
          <w:kern w:val="2"/>
          <w:sz w:val="21"/>
          <w:szCs w:val="21"/>
          <w:lang w:val="en-US" w:bidi="ar-SA"/>
        </w:rPr>
        <w:t>三、名词解释题（本大题共6小题，每小题 5分，共 30分）</w:t>
      </w:r>
    </w:p>
    <w:p>
      <w:pPr>
        <w:autoSpaceDE/>
        <w:autoSpaceDN/>
        <w:spacing w:line="360" w:lineRule="auto"/>
        <w:ind w:left="220" w:leftChars="100"/>
        <w:jc w:val="both"/>
        <w:rPr>
          <w:rFonts w:ascii="Times New Roman" w:hAnsi="Times New Roman" w:cs="Times New Roman"/>
          <w:kern w:val="2"/>
          <w:sz w:val="21"/>
          <w:szCs w:val="21"/>
          <w:lang w:val="en-US" w:bidi="ar-SA"/>
        </w:rPr>
      </w:pPr>
      <w:r>
        <w:rPr>
          <w:rFonts w:hint="eastAsia" w:ascii="Times New Roman" w:hAnsi="Times New Roman" w:cs="Times New Roman"/>
          <w:kern w:val="2"/>
          <w:sz w:val="21"/>
          <w:szCs w:val="21"/>
          <w:lang w:val="en-US" w:bidi="ar-SA"/>
        </w:rPr>
        <w:t>1、健康教育：以传播、教育、行为干预为手段，为学习者提供获取健康知识、树立健康观念、掌握健康技能的机会，帮助他们做出有益于健康的决定并养成健康行为的系列活动及其过程。</w:t>
      </w:r>
    </w:p>
    <w:p>
      <w:pPr>
        <w:autoSpaceDE/>
        <w:autoSpaceDN/>
        <w:jc w:val="both"/>
        <w:rPr>
          <w:rFonts w:ascii="黑体" w:eastAsia="黑体" w:cs="Times New Roman"/>
          <w:kern w:val="2"/>
          <w:sz w:val="21"/>
          <w:szCs w:val="21"/>
          <w:lang w:val="en-US" w:bidi="ar-SA"/>
        </w:rPr>
      </w:pPr>
      <w:r>
        <w:rPr>
          <w:rFonts w:hint="eastAsia" w:ascii="黑体" w:eastAsia="黑体" w:cs="Times New Roman"/>
          <w:kern w:val="2"/>
          <w:sz w:val="21"/>
          <w:szCs w:val="21"/>
          <w:lang w:val="en-US" w:bidi="ar-SA"/>
        </w:rPr>
        <w:t>四、简答题（本大题共3小题，每小题 6 分，共 18分）</w:t>
      </w:r>
    </w:p>
    <w:p>
      <w:pPr>
        <w:pStyle w:val="5"/>
        <w:spacing w:before="158" w:line="360" w:lineRule="auto"/>
        <w:ind w:left="161" w:right="3697"/>
        <w:rPr>
          <w:rFonts w:ascii="Times New Roman" w:hAnsi="Times New Roman" w:cs="Times New Roman"/>
          <w:kern w:val="2"/>
          <w:sz w:val="21"/>
          <w:szCs w:val="21"/>
          <w:lang w:val="en-US" w:bidi="ar-SA"/>
        </w:rPr>
      </w:pPr>
      <w:r>
        <w:rPr>
          <w:rFonts w:hint="eastAsia" w:ascii="Times New Roman" w:hAnsi="Times New Roman" w:cs="Times New Roman"/>
          <w:kern w:val="2"/>
          <w:sz w:val="21"/>
          <w:szCs w:val="21"/>
          <w:lang w:val="en-US" w:bidi="ar-SA"/>
        </w:rPr>
        <w:t xml:space="preserve">1、请简述健康促进项目实施的 SCOPE 模式。（6 分） </w:t>
      </w:r>
    </w:p>
    <w:p>
      <w:pPr>
        <w:pStyle w:val="5"/>
        <w:spacing w:before="158" w:line="360" w:lineRule="auto"/>
        <w:ind w:left="161" w:right="3697"/>
        <w:rPr>
          <w:rFonts w:ascii="Times New Roman" w:hAnsi="Times New Roman" w:cs="Times New Roman"/>
          <w:kern w:val="2"/>
          <w:sz w:val="21"/>
          <w:szCs w:val="21"/>
          <w:lang w:val="en-US" w:bidi="ar-SA"/>
        </w:rPr>
      </w:pPr>
      <w:r>
        <w:rPr>
          <w:rFonts w:hint="eastAsia" w:ascii="Times New Roman" w:hAnsi="Times New Roman" w:cs="Times New Roman"/>
          <w:kern w:val="2"/>
          <w:sz w:val="21"/>
          <w:szCs w:val="21"/>
          <w:lang w:val="en-US" w:bidi="ar-SA"/>
        </w:rPr>
        <w:t>回答要点：</w:t>
      </w:r>
    </w:p>
    <w:p>
      <w:pPr>
        <w:spacing w:line="360" w:lineRule="auto"/>
        <w:jc w:val="both"/>
        <w:rPr>
          <w:rFonts w:ascii="Times New Roman" w:hAnsi="Times New Roman" w:cs="Times New Roman"/>
          <w:kern w:val="2"/>
          <w:sz w:val="21"/>
          <w:szCs w:val="21"/>
          <w:lang w:val="en-US" w:bidi="ar-SA"/>
        </w:rPr>
      </w:pPr>
      <w:r>
        <w:rPr>
          <w:rFonts w:hint="eastAsia" w:ascii="Times New Roman" w:hAnsi="Times New Roman" w:cs="Times New Roman"/>
          <w:kern w:val="2"/>
          <w:sz w:val="21"/>
          <w:szCs w:val="21"/>
          <w:lang w:bidi="ar-SA"/>
        </w:rPr>
        <w:t>（1）制定实施时间表；（2）实施质量的控制；（3）建立实施的组织机构；（4）实施人员的组织与培训；（5）配备实施的材料设备。（</w:t>
      </w:r>
      <w:r>
        <w:rPr>
          <w:rFonts w:hint="eastAsia" w:ascii="Times New Roman" w:hAnsi="Times New Roman" w:cs="Times New Roman"/>
          <w:kern w:val="2"/>
          <w:sz w:val="21"/>
          <w:szCs w:val="21"/>
          <w:lang w:val="en-US" w:bidi="ar-SA"/>
        </w:rPr>
        <w:t>答对一条给1分，两条给3分，三条给4分，四条给5分，五条给6分。</w:t>
      </w:r>
      <w:r>
        <w:rPr>
          <w:rFonts w:hint="eastAsia" w:ascii="Times New Roman" w:hAnsi="Times New Roman" w:cs="Times New Roman"/>
          <w:kern w:val="2"/>
          <w:sz w:val="21"/>
          <w:szCs w:val="21"/>
          <w:lang w:bidi="ar-SA"/>
        </w:rPr>
        <w:t>）</w:t>
      </w:r>
    </w:p>
    <w:p>
      <w:pPr>
        <w:pStyle w:val="5"/>
        <w:spacing w:before="158" w:line="360" w:lineRule="auto"/>
        <w:ind w:left="161" w:right="3697"/>
        <w:rPr>
          <w:rFonts w:ascii="Times New Roman" w:hAnsi="Times New Roman" w:cs="Times New Roman"/>
          <w:kern w:val="2"/>
          <w:sz w:val="21"/>
          <w:szCs w:val="21"/>
          <w:lang w:val="en-US" w:bidi="ar-SA"/>
        </w:rPr>
      </w:pPr>
      <w:r>
        <w:rPr>
          <w:rFonts w:hint="eastAsia" w:ascii="Times New Roman" w:hAnsi="Times New Roman" w:cs="Times New Roman"/>
          <w:kern w:val="2"/>
          <w:sz w:val="21"/>
          <w:szCs w:val="21"/>
          <w:lang w:val="en-US" w:bidi="ar-SA"/>
        </w:rPr>
        <w:t>2、简述成瘾性行为改变的六阶段。</w:t>
      </w:r>
      <w:r>
        <w:rPr>
          <w:rFonts w:hint="eastAsia" w:ascii="Times New Roman" w:hAnsi="Times New Roman" w:cs="Times New Roman"/>
          <w:kern w:val="2"/>
          <w:sz w:val="21"/>
          <w:szCs w:val="21"/>
          <w:lang w:bidi="ar-SA"/>
        </w:rPr>
        <w:t>（</w:t>
      </w:r>
      <w:r>
        <w:rPr>
          <w:rFonts w:hint="eastAsia" w:ascii="Times New Roman" w:hAnsi="Times New Roman" w:cs="Times New Roman"/>
          <w:kern w:val="2"/>
          <w:sz w:val="21"/>
          <w:szCs w:val="21"/>
          <w:lang w:val="en-US" w:bidi="ar-SA"/>
        </w:rPr>
        <w:t>6</w:t>
      </w:r>
      <w:r>
        <w:rPr>
          <w:rFonts w:hint="eastAsia" w:ascii="Times New Roman" w:hAnsi="Times New Roman" w:cs="Times New Roman"/>
          <w:kern w:val="2"/>
          <w:sz w:val="21"/>
          <w:szCs w:val="21"/>
          <w:lang w:bidi="ar-SA"/>
        </w:rPr>
        <w:t xml:space="preserve"> 分） </w:t>
      </w:r>
    </w:p>
    <w:p>
      <w:pPr>
        <w:pStyle w:val="5"/>
        <w:spacing w:before="158" w:line="360" w:lineRule="auto"/>
        <w:ind w:left="161" w:right="3697"/>
        <w:rPr>
          <w:rFonts w:ascii="Times New Roman" w:hAnsi="Times New Roman" w:cs="Times New Roman"/>
          <w:kern w:val="2"/>
          <w:sz w:val="21"/>
          <w:szCs w:val="21"/>
          <w:lang w:val="en-US" w:bidi="ar-SA"/>
        </w:rPr>
      </w:pPr>
      <w:r>
        <w:rPr>
          <w:rFonts w:hint="eastAsia" w:ascii="Times New Roman" w:hAnsi="Times New Roman" w:cs="Times New Roman"/>
          <w:kern w:val="2"/>
          <w:sz w:val="21"/>
          <w:szCs w:val="21"/>
          <w:lang w:bidi="ar-SA"/>
        </w:rPr>
        <w:t>回答要点：</w:t>
      </w:r>
    </w:p>
    <w:p>
      <w:pPr>
        <w:pStyle w:val="5"/>
        <w:spacing w:line="360" w:lineRule="auto"/>
        <w:ind w:left="161" w:right="189"/>
        <w:rPr>
          <w:rFonts w:ascii="Times New Roman" w:hAnsi="Times New Roman" w:cs="Times New Roman"/>
          <w:kern w:val="2"/>
          <w:sz w:val="21"/>
          <w:szCs w:val="21"/>
          <w:lang w:val="en-US" w:bidi="ar-SA"/>
        </w:rPr>
      </w:pPr>
      <w:r>
        <w:rPr>
          <w:rFonts w:hint="eastAsia" w:ascii="Times New Roman" w:hAnsi="Times New Roman" w:cs="Times New Roman"/>
          <w:kern w:val="2"/>
          <w:sz w:val="21"/>
          <w:szCs w:val="21"/>
          <w:lang w:val="en-US" w:bidi="ar-SA"/>
        </w:rPr>
        <w:t>（1）无意向期；（2）意向期；（3）准备期；（4）行动期（5）维持期；（6）终止。（答对一条给1分，共6分。）</w:t>
      </w:r>
    </w:p>
    <w:p>
      <w:pPr>
        <w:autoSpaceDE/>
        <w:autoSpaceDN/>
        <w:jc w:val="both"/>
        <w:rPr>
          <w:rFonts w:ascii="黑体" w:eastAsia="黑体" w:cs="Times New Roman"/>
          <w:kern w:val="2"/>
          <w:sz w:val="21"/>
          <w:szCs w:val="21"/>
          <w:lang w:val="en-US" w:bidi="ar-SA"/>
        </w:rPr>
      </w:pPr>
      <w:r>
        <w:rPr>
          <w:rFonts w:hint="eastAsia" w:ascii="黑体" w:eastAsia="黑体" w:cs="Times New Roman"/>
          <w:kern w:val="2"/>
          <w:sz w:val="21"/>
          <w:szCs w:val="21"/>
          <w:lang w:val="en-US" w:bidi="ar-SA"/>
        </w:rPr>
        <w:t>五、论述题（本大题共1小题，每小题 12分，共 12分）</w:t>
      </w:r>
    </w:p>
    <w:p>
      <w:pPr>
        <w:pStyle w:val="5"/>
        <w:tabs>
          <w:tab w:val="left" w:pos="2200"/>
        </w:tabs>
        <w:spacing w:before="159" w:line="360" w:lineRule="auto"/>
        <w:ind w:left="161" w:right="4862"/>
        <w:rPr>
          <w:rFonts w:ascii="Times New Roman" w:hAnsi="Times New Roman" w:cs="Times New Roman"/>
          <w:kern w:val="2"/>
          <w:sz w:val="21"/>
          <w:szCs w:val="21"/>
          <w:lang w:val="en-US" w:bidi="ar-SA"/>
        </w:rPr>
      </w:pPr>
      <w:r>
        <w:rPr>
          <w:rFonts w:hint="eastAsia" w:ascii="Times New Roman" w:hAnsi="Times New Roman" w:cs="Times New Roman"/>
          <w:kern w:val="2"/>
          <w:sz w:val="21"/>
          <w:szCs w:val="21"/>
          <w:lang w:val="en-US" w:bidi="ar-SA"/>
        </w:rPr>
        <w:t>1、试述如何针对结核病人进行健康教育。</w:t>
      </w:r>
    </w:p>
    <w:p>
      <w:pPr>
        <w:pStyle w:val="5"/>
        <w:tabs>
          <w:tab w:val="left" w:pos="2200"/>
        </w:tabs>
        <w:spacing w:before="159" w:line="360" w:lineRule="auto"/>
        <w:ind w:left="161" w:right="4862"/>
        <w:rPr>
          <w:rFonts w:ascii="Times New Roman" w:hAnsi="Times New Roman" w:cs="Times New Roman"/>
          <w:kern w:val="2"/>
          <w:sz w:val="21"/>
          <w:szCs w:val="21"/>
          <w:lang w:bidi="ar-SA"/>
        </w:rPr>
      </w:pPr>
      <w:r>
        <w:rPr>
          <w:rFonts w:hint="eastAsia" w:ascii="Times New Roman" w:hAnsi="Times New Roman" w:cs="Times New Roman"/>
          <w:kern w:val="2"/>
          <w:sz w:val="21"/>
          <w:szCs w:val="21"/>
          <w:lang w:bidi="ar-SA"/>
        </w:rPr>
        <w:t>回答要点：</w:t>
      </w:r>
    </w:p>
    <w:p>
      <w:pPr>
        <w:pStyle w:val="11"/>
        <w:numPr>
          <w:ilvl w:val="0"/>
          <w:numId w:val="1"/>
        </w:numPr>
        <w:tabs>
          <w:tab w:val="left" w:pos="763"/>
        </w:tabs>
        <w:spacing w:before="158" w:line="360" w:lineRule="auto"/>
        <w:ind w:right="232" w:firstLine="0"/>
        <w:jc w:val="both"/>
        <w:rPr>
          <w:rFonts w:ascii="Times New Roman" w:hAnsi="Times New Roman" w:cs="Times New Roman"/>
          <w:kern w:val="2"/>
          <w:sz w:val="21"/>
          <w:szCs w:val="21"/>
          <w:lang w:val="en-US" w:bidi="ar-SA"/>
        </w:rPr>
      </w:pPr>
      <w:r>
        <w:rPr>
          <w:rFonts w:hint="eastAsia" w:ascii="Times New Roman" w:hAnsi="Times New Roman" w:cs="Times New Roman"/>
          <w:kern w:val="2"/>
          <w:sz w:val="21"/>
          <w:szCs w:val="21"/>
          <w:lang w:val="en-US" w:bidi="ar-SA"/>
        </w:rPr>
        <w:t>当肺结核病人确诊时，要对患者及家庭成员进行耐心、细致、正确的门诊宣传及健康教育。对不同病人，如是否排菌、不同病史及病程、不同化疗疗程等具体情况，进行有针对性的教育。一般来说，医生是受病人信赖的，病人易于接受医生的忠告，有利于提高病人的合作性。（3 分）</w:t>
      </w:r>
    </w:p>
    <w:p>
      <w:pPr>
        <w:pStyle w:val="11"/>
        <w:numPr>
          <w:ilvl w:val="0"/>
          <w:numId w:val="1"/>
        </w:numPr>
        <w:tabs>
          <w:tab w:val="left" w:pos="763"/>
        </w:tabs>
        <w:spacing w:before="0" w:line="360" w:lineRule="auto"/>
        <w:ind w:right="112" w:firstLine="0"/>
        <w:jc w:val="both"/>
        <w:rPr>
          <w:rFonts w:ascii="Times New Roman" w:hAnsi="Times New Roman" w:cs="Times New Roman"/>
          <w:kern w:val="2"/>
          <w:sz w:val="21"/>
          <w:szCs w:val="21"/>
          <w:lang w:val="en-US" w:bidi="ar-SA"/>
        </w:rPr>
      </w:pPr>
      <w:r>
        <w:rPr>
          <w:rFonts w:hint="eastAsia" w:ascii="Times New Roman" w:hAnsi="Times New Roman" w:cs="Times New Roman"/>
          <w:kern w:val="2"/>
          <w:sz w:val="21"/>
          <w:szCs w:val="21"/>
          <w:lang w:val="en-US" w:bidi="ar-SA"/>
        </w:rPr>
        <w:t>医院、结防所的门诊候诊健康教育，含口头宣传、黑板报、图片、手册、传单等。安排治疗程序，根据病情及实际情况，积极、主动安排全程督导化疗管理或全程管理， 杜绝自服药。（3 分）</w:t>
      </w:r>
    </w:p>
    <w:p>
      <w:pPr>
        <w:pStyle w:val="11"/>
        <w:numPr>
          <w:ilvl w:val="0"/>
          <w:numId w:val="1"/>
        </w:numPr>
        <w:tabs>
          <w:tab w:val="left" w:pos="763"/>
        </w:tabs>
        <w:spacing w:before="0" w:line="360" w:lineRule="auto"/>
        <w:ind w:right="302" w:firstLine="0"/>
        <w:jc w:val="both"/>
        <w:rPr>
          <w:rFonts w:ascii="Times New Roman" w:hAnsi="Times New Roman" w:cs="Times New Roman"/>
          <w:kern w:val="2"/>
          <w:sz w:val="21"/>
          <w:szCs w:val="21"/>
          <w:lang w:val="en-US" w:bidi="ar-SA"/>
        </w:rPr>
      </w:pPr>
      <w:r>
        <w:rPr>
          <w:rFonts w:hint="eastAsia" w:ascii="Times New Roman" w:hAnsi="Times New Roman" w:cs="Times New Roman"/>
          <w:kern w:val="2"/>
          <w:sz w:val="21"/>
          <w:szCs w:val="21"/>
          <w:lang w:val="en-US" w:bidi="ar-SA"/>
        </w:rPr>
        <w:t>安排治疗程序，根据病情及实际情况，积极、主动安排全程督导化疗管理或全程管理，杜绝自服药。（3 分）</w:t>
      </w:r>
    </w:p>
    <w:p>
      <w:pPr>
        <w:pStyle w:val="11"/>
        <w:numPr>
          <w:ilvl w:val="0"/>
          <w:numId w:val="1"/>
        </w:numPr>
        <w:tabs>
          <w:tab w:val="left" w:pos="763"/>
        </w:tabs>
        <w:spacing w:before="0" w:line="360" w:lineRule="auto"/>
        <w:ind w:right="237" w:firstLine="0"/>
        <w:jc w:val="both"/>
        <w:rPr>
          <w:rFonts w:ascii="Times New Roman" w:hAnsi="Times New Roman" w:cs="Times New Roman"/>
          <w:kern w:val="2"/>
          <w:sz w:val="21"/>
          <w:szCs w:val="21"/>
          <w:lang w:val="en-US" w:bidi="ar-SA"/>
        </w:rPr>
      </w:pPr>
      <w:r>
        <w:rPr>
          <w:rFonts w:hint="eastAsia" w:ascii="Times New Roman" w:hAnsi="Times New Roman" w:cs="Times New Roman"/>
          <w:kern w:val="2"/>
          <w:sz w:val="21"/>
          <w:szCs w:val="21"/>
          <w:lang w:val="en-US" w:bidi="ar-SA"/>
        </w:rPr>
        <w:t>住院健康教育:有助于病人在住院期间配合治疗，也有利于病人出院后，继续接受治疗管理的顺应性等。（3分）</w:t>
      </w:r>
    </w:p>
    <w:p>
      <w:pPr>
        <w:pStyle w:val="5"/>
        <w:rPr>
          <w:sz w:val="26"/>
        </w:rPr>
      </w:pPr>
    </w:p>
    <w:p>
      <w:pPr>
        <w:pStyle w:val="5"/>
        <w:spacing w:before="2"/>
        <w:rPr>
          <w:sz w:val="38"/>
        </w:rPr>
      </w:pPr>
    </w:p>
    <w:p>
      <w:pPr>
        <w:pStyle w:val="5"/>
        <w:spacing w:before="1"/>
        <w:ind w:right="232"/>
        <w:jc w:val="center"/>
      </w:pPr>
      <w:r>
        <w:rPr>
          <w:rFonts w:hint="eastAsia" w:ascii="Times New Roman"/>
          <w:lang w:val="en-US"/>
        </w:rPr>
        <w:t xml:space="preserve">                              </w:t>
      </w:r>
      <w:r>
        <w:rPr>
          <w:rFonts w:ascii="Times New Roman" w:eastAsia="Times New Roman"/>
        </w:rPr>
        <w:t>202</w:t>
      </w:r>
      <w:r>
        <w:rPr>
          <w:rFonts w:hint="eastAsia" w:ascii="Times New Roman"/>
          <w:lang w:val="en-US"/>
        </w:rPr>
        <w:t>4</w:t>
      </w:r>
      <w:r>
        <w:t xml:space="preserve">年 </w:t>
      </w:r>
      <w:r>
        <w:rPr>
          <w:rFonts w:hint="eastAsia" w:ascii="Times New Roman"/>
          <w:lang w:val="en-US"/>
        </w:rPr>
        <w:t>2</w:t>
      </w:r>
      <w:r>
        <w:t xml:space="preserve">月 </w:t>
      </w:r>
      <w:r>
        <w:rPr>
          <w:rFonts w:hint="eastAsia" w:ascii="Times New Roman"/>
          <w:lang w:val="en-US"/>
        </w:rPr>
        <w:t>18</w:t>
      </w:r>
      <w:r>
        <w:rPr>
          <w:rFonts w:ascii="Times New Roman" w:eastAsia="Times New Roman"/>
        </w:rPr>
        <w:t xml:space="preserve"> </w:t>
      </w:r>
      <w:r>
        <w:t>日</w:t>
      </w:r>
    </w:p>
    <w:p>
      <w:pPr>
        <w:pStyle w:val="11"/>
        <w:tabs>
          <w:tab w:val="left" w:pos="932"/>
        </w:tabs>
        <w:spacing w:before="1" w:line="360" w:lineRule="auto"/>
        <w:ind w:left="440" w:leftChars="200" w:firstLine="0"/>
        <w:rPr>
          <w:rFonts w:ascii="仿宋" w:hAnsi="仿宋" w:eastAsia="仿宋" w:cs="仿宋"/>
          <w:kern w:val="2"/>
          <w:sz w:val="32"/>
          <w:szCs w:val="32"/>
          <w:lang w:val="en-US" w:bidi="ar-SA"/>
        </w:rPr>
      </w:pPr>
    </w:p>
    <w:sectPr>
      <w:pgSz w:w="11910" w:h="16840"/>
      <w:pgMar w:top="1451" w:right="1757" w:bottom="1451" w:left="1757"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40482"/>
    <w:multiLevelType w:val="multilevel"/>
    <w:tmpl w:val="0E640482"/>
    <w:lvl w:ilvl="0" w:tentative="0">
      <w:start w:val="1"/>
      <w:numFmt w:val="decimal"/>
      <w:lvlText w:val="（%1）"/>
      <w:lvlJc w:val="left"/>
      <w:pPr>
        <w:ind w:left="161" w:hanging="601"/>
        <w:jc w:val="left"/>
      </w:pPr>
      <w:rPr>
        <w:rFonts w:hint="default" w:ascii="宋体" w:hAnsi="宋体" w:eastAsia="宋体" w:cs="宋体"/>
        <w:spacing w:val="-16"/>
        <w:w w:val="100"/>
        <w:sz w:val="22"/>
        <w:szCs w:val="22"/>
        <w:lang w:val="zh-CN" w:eastAsia="zh-CN" w:bidi="zh-CN"/>
      </w:rPr>
    </w:lvl>
    <w:lvl w:ilvl="1" w:tentative="0">
      <w:start w:val="0"/>
      <w:numFmt w:val="bullet"/>
      <w:lvlText w:val="•"/>
      <w:lvlJc w:val="left"/>
      <w:pPr>
        <w:ind w:left="1090" w:hanging="601"/>
      </w:pPr>
      <w:rPr>
        <w:rFonts w:hint="default"/>
        <w:lang w:val="zh-CN" w:eastAsia="zh-CN" w:bidi="zh-CN"/>
      </w:rPr>
    </w:lvl>
    <w:lvl w:ilvl="2" w:tentative="0">
      <w:start w:val="0"/>
      <w:numFmt w:val="bullet"/>
      <w:lvlText w:val="•"/>
      <w:lvlJc w:val="left"/>
      <w:pPr>
        <w:ind w:left="2021" w:hanging="601"/>
      </w:pPr>
      <w:rPr>
        <w:rFonts w:hint="default"/>
        <w:lang w:val="zh-CN" w:eastAsia="zh-CN" w:bidi="zh-CN"/>
      </w:rPr>
    </w:lvl>
    <w:lvl w:ilvl="3" w:tentative="0">
      <w:start w:val="0"/>
      <w:numFmt w:val="bullet"/>
      <w:lvlText w:val="•"/>
      <w:lvlJc w:val="left"/>
      <w:pPr>
        <w:ind w:left="2951" w:hanging="601"/>
      </w:pPr>
      <w:rPr>
        <w:rFonts w:hint="default"/>
        <w:lang w:val="zh-CN" w:eastAsia="zh-CN" w:bidi="zh-CN"/>
      </w:rPr>
    </w:lvl>
    <w:lvl w:ilvl="4" w:tentative="0">
      <w:start w:val="0"/>
      <w:numFmt w:val="bullet"/>
      <w:lvlText w:val="•"/>
      <w:lvlJc w:val="left"/>
      <w:pPr>
        <w:ind w:left="3882" w:hanging="601"/>
      </w:pPr>
      <w:rPr>
        <w:rFonts w:hint="default"/>
        <w:lang w:val="zh-CN" w:eastAsia="zh-CN" w:bidi="zh-CN"/>
      </w:rPr>
    </w:lvl>
    <w:lvl w:ilvl="5" w:tentative="0">
      <w:start w:val="0"/>
      <w:numFmt w:val="bullet"/>
      <w:lvlText w:val="•"/>
      <w:lvlJc w:val="left"/>
      <w:pPr>
        <w:ind w:left="4813" w:hanging="601"/>
      </w:pPr>
      <w:rPr>
        <w:rFonts w:hint="default"/>
        <w:lang w:val="zh-CN" w:eastAsia="zh-CN" w:bidi="zh-CN"/>
      </w:rPr>
    </w:lvl>
    <w:lvl w:ilvl="6" w:tentative="0">
      <w:start w:val="0"/>
      <w:numFmt w:val="bullet"/>
      <w:lvlText w:val="•"/>
      <w:lvlJc w:val="left"/>
      <w:pPr>
        <w:ind w:left="5743" w:hanging="601"/>
      </w:pPr>
      <w:rPr>
        <w:rFonts w:hint="default"/>
        <w:lang w:val="zh-CN" w:eastAsia="zh-CN" w:bidi="zh-CN"/>
      </w:rPr>
    </w:lvl>
    <w:lvl w:ilvl="7" w:tentative="0">
      <w:start w:val="0"/>
      <w:numFmt w:val="bullet"/>
      <w:lvlText w:val="•"/>
      <w:lvlJc w:val="left"/>
      <w:pPr>
        <w:ind w:left="6674" w:hanging="601"/>
      </w:pPr>
      <w:rPr>
        <w:rFonts w:hint="default"/>
        <w:lang w:val="zh-CN" w:eastAsia="zh-CN" w:bidi="zh-CN"/>
      </w:rPr>
    </w:lvl>
    <w:lvl w:ilvl="8" w:tentative="0">
      <w:start w:val="0"/>
      <w:numFmt w:val="bullet"/>
      <w:lvlText w:val="•"/>
      <w:lvlJc w:val="left"/>
      <w:pPr>
        <w:ind w:left="7604" w:hanging="601"/>
      </w:pPr>
      <w:rPr>
        <w:rFonts w:hint="default"/>
        <w:lang w:val="zh-CN" w:eastAsia="zh-CN" w:bidi="zh-C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lkMWE0ZjBjMzVkYWM2NGVhOTNmMzE4Mzg4Y2RiYzIifQ=="/>
  </w:docVars>
  <w:rsids>
    <w:rsidRoot w:val="000A20F8"/>
    <w:rsid w:val="000A20F8"/>
    <w:rsid w:val="002866D0"/>
    <w:rsid w:val="00B16F7C"/>
    <w:rsid w:val="00B42529"/>
    <w:rsid w:val="00C11E23"/>
    <w:rsid w:val="052D6C78"/>
    <w:rsid w:val="09AD044A"/>
    <w:rsid w:val="0A503B75"/>
    <w:rsid w:val="0C1E28E5"/>
    <w:rsid w:val="0F55198C"/>
    <w:rsid w:val="109E61CF"/>
    <w:rsid w:val="10BB4615"/>
    <w:rsid w:val="15166674"/>
    <w:rsid w:val="15D45685"/>
    <w:rsid w:val="17920BDE"/>
    <w:rsid w:val="1CDF0DF5"/>
    <w:rsid w:val="1FFD7C10"/>
    <w:rsid w:val="276126D0"/>
    <w:rsid w:val="27B9574E"/>
    <w:rsid w:val="29F15D4D"/>
    <w:rsid w:val="2D1F79BE"/>
    <w:rsid w:val="2FD24F04"/>
    <w:rsid w:val="301617F5"/>
    <w:rsid w:val="30C26424"/>
    <w:rsid w:val="31625C4F"/>
    <w:rsid w:val="35234EB4"/>
    <w:rsid w:val="38570AAD"/>
    <w:rsid w:val="387B7078"/>
    <w:rsid w:val="3B5424F2"/>
    <w:rsid w:val="3D7713BE"/>
    <w:rsid w:val="3F6D2596"/>
    <w:rsid w:val="44C04A9F"/>
    <w:rsid w:val="453001B9"/>
    <w:rsid w:val="459D22CE"/>
    <w:rsid w:val="47CC2357"/>
    <w:rsid w:val="49E51AE6"/>
    <w:rsid w:val="4A8A3126"/>
    <w:rsid w:val="4B9F0F20"/>
    <w:rsid w:val="60B00D0E"/>
    <w:rsid w:val="693E5D58"/>
    <w:rsid w:val="69E67A92"/>
    <w:rsid w:val="6A9C111D"/>
    <w:rsid w:val="6D723F67"/>
    <w:rsid w:val="70E3242F"/>
    <w:rsid w:val="71DC2C3F"/>
    <w:rsid w:val="74484381"/>
    <w:rsid w:val="780D64E0"/>
    <w:rsid w:val="79AF5C27"/>
    <w:rsid w:val="7D4C0330"/>
    <w:rsid w:val="7D684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ind w:left="1985" w:right="2058"/>
      <w:jc w:val="center"/>
      <w:outlineLvl w:val="0"/>
    </w:pPr>
    <w:rPr>
      <w:b/>
      <w:bCs/>
      <w:sz w:val="32"/>
      <w:szCs w:val="32"/>
    </w:rPr>
  </w:style>
  <w:style w:type="paragraph" w:styleId="3">
    <w:name w:val="heading 2"/>
    <w:basedOn w:val="1"/>
    <w:next w:val="1"/>
    <w:qFormat/>
    <w:uiPriority w:val="1"/>
    <w:pPr>
      <w:ind w:left="1985" w:right="2056"/>
      <w:jc w:val="center"/>
      <w:outlineLvl w:val="1"/>
    </w:pPr>
    <w:rPr>
      <w:rFonts w:ascii="仿宋" w:hAnsi="仿宋" w:eastAsia="仿宋" w:cs="仿宋"/>
      <w:b/>
      <w:bCs/>
      <w:sz w:val="30"/>
      <w:szCs w:val="30"/>
    </w:rPr>
  </w:style>
  <w:style w:type="paragraph" w:styleId="4">
    <w:name w:val="heading 3"/>
    <w:basedOn w:val="1"/>
    <w:next w:val="1"/>
    <w:qFormat/>
    <w:uiPriority w:val="1"/>
    <w:pPr>
      <w:spacing w:before="1"/>
      <w:ind w:left="161"/>
      <w:outlineLvl w:val="2"/>
    </w:pPr>
    <w:rPr>
      <w:b/>
      <w:bCs/>
      <w:sz w:val="24"/>
      <w:szCs w:val="24"/>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Body Text"/>
    <w:basedOn w:val="1"/>
    <w:qFormat/>
    <w:uiPriority w:val="1"/>
    <w:rPr>
      <w:sz w:val="24"/>
      <w:szCs w:val="24"/>
    </w:rPr>
  </w:style>
  <w:style w:type="paragraph" w:styleId="6">
    <w:name w:val="footer"/>
    <w:basedOn w:val="1"/>
    <w:link w:val="14"/>
    <w:qFormat/>
    <w:uiPriority w:val="0"/>
    <w:pPr>
      <w:tabs>
        <w:tab w:val="center" w:pos="4153"/>
        <w:tab w:val="right" w:pos="8306"/>
      </w:tabs>
      <w:snapToGrid w:val="0"/>
    </w:pPr>
    <w:rPr>
      <w:sz w:val="18"/>
      <w:szCs w:val="18"/>
    </w:rPr>
  </w:style>
  <w:style w:type="paragraph" w:styleId="7">
    <w:name w:val="header"/>
    <w:basedOn w:val="1"/>
    <w:link w:val="13"/>
    <w:qFormat/>
    <w:uiPriority w:val="0"/>
    <w:pPr>
      <w:tabs>
        <w:tab w:val="center" w:pos="4153"/>
        <w:tab w:val="right" w:pos="8306"/>
      </w:tabs>
      <w:snapToGrid w:val="0"/>
      <w:jc w:val="center"/>
    </w:pPr>
    <w:rPr>
      <w:sz w:val="18"/>
      <w:szCs w:val="18"/>
    </w:rPr>
  </w:style>
  <w:style w:type="table" w:customStyle="1" w:styleId="10">
    <w:name w:val="Table Normal"/>
    <w:semiHidden/>
    <w:unhideWhenUsed/>
    <w:qFormat/>
    <w:uiPriority w:val="2"/>
    <w:tblPr>
      <w:tblCellMar>
        <w:top w:w="0" w:type="dxa"/>
        <w:left w:w="0" w:type="dxa"/>
        <w:bottom w:w="0" w:type="dxa"/>
        <w:right w:w="0" w:type="dxa"/>
      </w:tblCellMar>
    </w:tblPr>
  </w:style>
  <w:style w:type="paragraph" w:styleId="11">
    <w:name w:val="List Paragraph"/>
    <w:basedOn w:val="1"/>
    <w:qFormat/>
    <w:uiPriority w:val="1"/>
    <w:pPr>
      <w:spacing w:before="161"/>
      <w:ind w:left="941" w:hanging="301"/>
    </w:pPr>
  </w:style>
  <w:style w:type="paragraph" w:customStyle="1" w:styleId="12">
    <w:name w:val="Table Paragraph"/>
    <w:basedOn w:val="1"/>
    <w:qFormat/>
    <w:uiPriority w:val="1"/>
    <w:pPr>
      <w:spacing w:before="77"/>
      <w:jc w:val="center"/>
    </w:pPr>
  </w:style>
  <w:style w:type="character" w:customStyle="1" w:styleId="13">
    <w:name w:val="页眉 字符"/>
    <w:basedOn w:val="9"/>
    <w:link w:val="7"/>
    <w:qFormat/>
    <w:uiPriority w:val="0"/>
    <w:rPr>
      <w:rFonts w:ascii="宋体" w:hAnsi="宋体" w:cs="宋体"/>
      <w:sz w:val="18"/>
      <w:szCs w:val="18"/>
      <w:lang w:val="zh-CN" w:bidi="zh-CN"/>
    </w:rPr>
  </w:style>
  <w:style w:type="character" w:customStyle="1" w:styleId="14">
    <w:name w:val="页脚 字符"/>
    <w:basedOn w:val="9"/>
    <w:link w:val="6"/>
    <w:uiPriority w:val="0"/>
    <w:rPr>
      <w:rFonts w:ascii="宋体" w:hAnsi="宋体" w:cs="宋体"/>
      <w:sz w:val="18"/>
      <w:szCs w:val="18"/>
      <w:lang w:val="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4059</Words>
  <Characters>413</Characters>
  <Lines>3</Lines>
  <Paragraphs>8</Paragraphs>
  <TotalTime>2</TotalTime>
  <ScaleCrop>false</ScaleCrop>
  <LinksUpToDate>false</LinksUpToDate>
  <CharactersWithSpaces>4464</CharactersWithSpaces>
  <Application>WPS Office_11.1.0.10045_F1E327BC-269C-435d-A152-05C5408002CA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2024-06-08T12:40:00Z</dcterms:created>
  <dc:creator>nn</dc:creator>
  <cp:lastModifiedBy>gao qian</cp:lastModifiedBy>
  <dcterms:modified xsi:type="dcterms:W3CDTF">2024-08-28T06:54:46Z</dcterms:modified>
  <dc:title>《健康教育学教学大纲》</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2023-10-30T00:00:00Z</vt:filetime>
  </property>
  <property fmtid="{D5CDD505-2E9C-101B-9397-08002B2CF9AE}" pid="3" name="Creator">
    <vt:lpwstr>WPS 文字</vt:lpwstr>
  </property>
  <property fmtid="{D5CDD505-2E9C-101B-9397-08002B2CF9AE}" pid="4" name="LastSaved">
    <vt:filetime>2024-01-10T00:00:00Z</vt:filetime>
  </property>
  <property fmtid="{D5CDD505-2E9C-101B-9397-08002B2CF9AE}" pid="5" name="KSOProductBuildVer">
    <vt:lpwstr>2052-11.1.0.10045</vt:lpwstr>
  </property>
  <property fmtid="{D5CDD505-2E9C-101B-9397-08002B2CF9AE}" pid="6" name="ICV">
    <vt:lpwstr>D074A70775A64CE68A7440F9CC98A6E8_12</vt:lpwstr>
  </property>
</Properties>
</file>